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framePr w:w="0" w:hRule="auto" w:wrap="auto" w:vAnchor="margin" w:hAnchor="text" w:xAlign="left" w:yAlign="inline"/>
        <w:jc w:val="both"/>
        <w:rPr>
          <w:b w:val="0"/>
          <w:sz w:val="52"/>
        </w:rPr>
      </w:pPr>
      <w:bookmarkStart w:id="0" w:name="_Toc102292521"/>
      <w:bookmarkStart w:id="38" w:name="_GoBack"/>
      <w:bookmarkEnd w:id="38"/>
    </w:p>
    <w:p>
      <w:pPr>
        <w:pStyle w:val="27"/>
        <w:framePr w:w="0" w:hRule="auto" w:wrap="auto" w:vAnchor="margin" w:hAnchor="text" w:xAlign="left" w:yAlign="inline"/>
        <w:jc w:val="both"/>
        <w:rPr>
          <w:rFonts w:eastAsia="楷体_GB2312"/>
          <w:sz w:val="28"/>
          <w:szCs w:val="28"/>
        </w:rPr>
      </w:pPr>
      <w:r>
        <w:rPr>
          <w:rFonts w:eastAsia="楷体_GB2312"/>
          <w:sz w:val="28"/>
          <w:szCs w:val="28"/>
        </w:rPr>
        <w:t>UDC</w:t>
      </w:r>
    </w:p>
    <w:p>
      <w:pPr>
        <w:pStyle w:val="27"/>
        <w:framePr w:w="0" w:hRule="auto" w:wrap="auto" w:vAnchor="margin" w:hAnchor="text" w:xAlign="left" w:yAlign="inline"/>
        <w:rPr>
          <w:rFonts w:eastAsia="Batang"/>
          <w:outline/>
          <w:color w:val="000000"/>
          <w14:textOutline w14:w="9525" w14:cap="flat" w14:cmpd="sng" w14:algn="ctr">
            <w14:solidFill>
              <w14:srgbClr w14:val="000000"/>
            </w14:solidFill>
            <w14:prstDash w14:val="solid"/>
            <w14:round/>
          </w14:textOutline>
          <w14:textFill>
            <w14:noFill/>
          </w14:textFill>
        </w:rPr>
      </w:pPr>
      <w:r>
        <w:rPr>
          <w:rFonts w:eastAsia="黑体"/>
          <w:b w:val="0"/>
          <w:sz w:val="36"/>
          <w:szCs w:val="36"/>
        </w:rPr>
        <w:t>中华人民共和国国家标准</w:t>
      </w:r>
      <w:r>
        <w:rPr>
          <w:rFonts w:eastAsia="Batang"/>
          <w:szCs w:val="96"/>
        </w:rPr>
        <w:t>GB</w:t>
      </w:r>
    </w:p>
    <w:p>
      <w:pPr>
        <w:pStyle w:val="28"/>
        <w:wordWrap w:val="0"/>
        <w:rPr>
          <w:b/>
        </w:rPr>
      </w:pPr>
      <w:r>
        <w:rPr>
          <w:b/>
        </w:rPr>
        <w:t xml:space="preserve">  P                                    GB  XXXXX—20</w:t>
      </w:r>
      <w:r>
        <w:rPr>
          <w:rFonts w:hint="eastAsia"/>
          <w:b/>
        </w:rPr>
        <w:t>18</w:t>
      </w:r>
    </w:p>
    <w:p>
      <w:pPr>
        <w:spacing w:line="480" w:lineRule="auto"/>
        <w:jc w:val="center"/>
        <w:rPr>
          <w:b/>
          <w:sz w:val="52"/>
        </w:rPr>
      </w:pPr>
      <w:r>
        <mc:AlternateContent>
          <mc:Choice Requires="wps">
            <w:drawing>
              <wp:anchor distT="0" distB="0" distL="0" distR="0" simplePos="0" relativeHeight="251655168" behindDoc="0" locked="0" layoutInCell="1" allowOverlap="1">
                <wp:simplePos x="0" y="0"/>
                <wp:positionH relativeFrom="column">
                  <wp:posOffset>-410845</wp:posOffset>
                </wp:positionH>
                <wp:positionV relativeFrom="paragraph">
                  <wp:posOffset>178435</wp:posOffset>
                </wp:positionV>
                <wp:extent cx="6045200" cy="7620"/>
                <wp:effectExtent l="0" t="0" r="12700" b="30480"/>
                <wp:wrapNone/>
                <wp:docPr id="1026" name="Line 4"/>
                <wp:cNvGraphicFramePr/>
                <a:graphic xmlns:a="http://schemas.openxmlformats.org/drawingml/2006/main">
                  <a:graphicData uri="http://schemas.microsoft.com/office/word/2010/wordprocessingShape">
                    <wps:wsp>
                      <wps:cNvCnPr/>
                      <wps:spPr>
                        <a:xfrm flipV="1">
                          <a:off x="0" y="0"/>
                          <a:ext cx="6045200" cy="7620"/>
                        </a:xfrm>
                        <a:prstGeom prst="line">
                          <a:avLst/>
                        </a:prstGeom>
                        <a:ln w="9525" cap="flat" cmpd="sng">
                          <a:solidFill>
                            <a:srgbClr val="000000"/>
                          </a:solidFill>
                          <a:prstDash val="solid"/>
                          <a:round/>
                        </a:ln>
                      </wps:spPr>
                      <wps:bodyPr/>
                    </wps:wsp>
                  </a:graphicData>
                </a:graphic>
              </wp:anchor>
            </w:drawing>
          </mc:Choice>
          <mc:Fallback>
            <w:pict>
              <v:line id="Line 4" o:spid="_x0000_s1026" o:spt="20" style="position:absolute;left:0pt;flip:y;margin-left:-32.35pt;margin-top:14.05pt;height:0.6pt;width:476pt;z-index:251655168;mso-width-relative:page;mso-height-relative:page;" filled="f" stroked="t" coordsize="21600,21600" o:gfxdata="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TUpypNgAAAAJAQAA&#10;DwAAAAAAAAABACAAAAAiAAAAZHJzL2Rvd25yZXYueG1sUEsBAhQAFAAAAAgAh07iQI5ju6qnAQAA&#10;RQMAAA4AAAAAAAAAAQAgAAAAJwEAAGRycy9lMm9Eb2MueG1sUEsFBgAAAAAGAAYAWQEAAEAFAAAA&#10;AA==&#10;">
                <v:fill on="f" focussize="0,0"/>
                <v:stroke color="#000000" joinstyle="round"/>
                <v:imagedata o:title=""/>
                <o:lock v:ext="edit" aspectratio="f"/>
              </v:line>
            </w:pict>
          </mc:Fallback>
        </mc:AlternateContent>
      </w:r>
    </w:p>
    <w:p>
      <w:pPr>
        <w:spacing w:line="360" w:lineRule="auto"/>
        <w:jc w:val="center"/>
        <w:rPr>
          <w:b/>
          <w:sz w:val="52"/>
          <w:szCs w:val="20"/>
        </w:rPr>
      </w:pPr>
    </w:p>
    <w:p>
      <w:pPr>
        <w:spacing w:line="360" w:lineRule="auto"/>
        <w:jc w:val="center"/>
        <w:rPr>
          <w:b/>
          <w:sz w:val="52"/>
        </w:rPr>
      </w:pPr>
      <w:r>
        <w:rPr>
          <w:rFonts w:hint="eastAsia"/>
          <w:b/>
          <w:sz w:val="52"/>
          <w:szCs w:val="20"/>
        </w:rPr>
        <w:t>海绵城市建设评价标准</w:t>
      </w:r>
    </w:p>
    <w:p>
      <w:pPr>
        <w:spacing w:line="360" w:lineRule="auto"/>
        <w:jc w:val="center"/>
        <w:rPr>
          <w:b/>
          <w:sz w:val="28"/>
          <w:szCs w:val="28"/>
        </w:rPr>
      </w:pPr>
      <w:r>
        <w:rPr>
          <w:rFonts w:hint="eastAsia"/>
          <w:b/>
          <w:sz w:val="28"/>
          <w:szCs w:val="28"/>
        </w:rPr>
        <w:t>Assessment standard for sponge city</w:t>
      </w:r>
    </w:p>
    <w:p>
      <w:pPr>
        <w:spacing w:line="480" w:lineRule="auto"/>
        <w:jc w:val="center"/>
        <w:rPr>
          <w:b/>
          <w:sz w:val="32"/>
          <w:szCs w:val="32"/>
        </w:rPr>
      </w:pPr>
      <w:r>
        <w:rPr>
          <w:rFonts w:hint="eastAsia"/>
          <w:b/>
          <w:sz w:val="32"/>
          <w:szCs w:val="32"/>
        </w:rPr>
        <w:t>征求意见稿</w:t>
      </w:r>
    </w:p>
    <w:p>
      <w:pPr>
        <w:pStyle w:val="10"/>
      </w:pPr>
    </w:p>
    <w:p>
      <w:pPr>
        <w:pStyle w:val="10"/>
      </w:pPr>
    </w:p>
    <w:p>
      <w:pPr>
        <w:pStyle w:val="10"/>
      </w:pPr>
    </w:p>
    <w:p>
      <w:pPr>
        <w:spacing w:line="480" w:lineRule="auto"/>
        <w:rPr>
          <w:rFonts w:eastAsia="黑体"/>
          <w:sz w:val="28"/>
          <w:szCs w:val="28"/>
        </w:rPr>
      </w:pPr>
      <w:r>
        <w:rPr>
          <w:rFonts w:eastAsia="黑体"/>
          <w:sz w:val="28"/>
          <w:szCs w:val="28"/>
        </w:rPr>
        <w:t>20</w:t>
      </w:r>
      <w:r>
        <w:rPr>
          <w:rFonts w:hint="eastAsia" w:eastAsia="黑体"/>
          <w:sz w:val="28"/>
          <w:szCs w:val="28"/>
        </w:rPr>
        <w:t>18</w:t>
      </w:r>
      <w:r>
        <w:rPr>
          <w:rFonts w:eastAsia="黑体"/>
          <w:sz w:val="28"/>
          <w:szCs w:val="28"/>
        </w:rPr>
        <w:t>－XX－XX  发布            20</w:t>
      </w:r>
      <w:r>
        <w:rPr>
          <w:rFonts w:hint="eastAsia" w:eastAsia="黑体"/>
          <w:sz w:val="28"/>
          <w:szCs w:val="28"/>
        </w:rPr>
        <w:t>18</w:t>
      </w:r>
      <w:r>
        <w:rPr>
          <w:rFonts w:eastAsia="黑体"/>
          <w:sz w:val="28"/>
          <w:szCs w:val="28"/>
        </w:rPr>
        <w:t>－XX－XX  实施</w:t>
      </w:r>
    </w:p>
    <w:p>
      <w:pPr>
        <w:pStyle w:val="10"/>
      </w:pPr>
      <w:r>
        <mc:AlternateContent>
          <mc:Choice Requires="wps">
            <w:drawing>
              <wp:anchor distT="0" distB="0" distL="0" distR="0" simplePos="0" relativeHeight="251656192" behindDoc="0" locked="0" layoutInCell="1" allowOverlap="1">
                <wp:simplePos x="0" y="0"/>
                <wp:positionH relativeFrom="column">
                  <wp:posOffset>-2540</wp:posOffset>
                </wp:positionH>
                <wp:positionV relativeFrom="paragraph">
                  <wp:posOffset>217170</wp:posOffset>
                </wp:positionV>
                <wp:extent cx="5173980" cy="7620"/>
                <wp:effectExtent l="0" t="0" r="26669" b="30480"/>
                <wp:wrapNone/>
                <wp:docPr id="1027" name="Line 11"/>
                <wp:cNvGraphicFramePr/>
                <a:graphic xmlns:a="http://schemas.openxmlformats.org/drawingml/2006/main">
                  <a:graphicData uri="http://schemas.microsoft.com/office/word/2010/wordprocessingShape">
                    <wps:wsp>
                      <wps:cNvCnPr/>
                      <wps:spPr>
                        <a:xfrm flipV="1">
                          <a:off x="0" y="0"/>
                          <a:ext cx="5173980" cy="7620"/>
                        </a:xfrm>
                        <a:prstGeom prst="line">
                          <a:avLst/>
                        </a:prstGeom>
                        <a:ln w="9525" cap="flat" cmpd="sng">
                          <a:solidFill>
                            <a:srgbClr val="000000"/>
                          </a:solidFill>
                          <a:prstDash val="solid"/>
                          <a:round/>
                        </a:ln>
                      </wps:spPr>
                      <wps:bodyPr/>
                    </wps:wsp>
                  </a:graphicData>
                </a:graphic>
              </wp:anchor>
            </w:drawing>
          </mc:Choice>
          <mc:Fallback>
            <w:pict>
              <v:line id="Line 11" o:spid="_x0000_s1026" o:spt="20" style="position:absolute;left:0pt;flip:y;margin-left:-0.2pt;margin-top:17.1pt;height:0.6pt;width:407.4pt;z-index:251656192;mso-width-relative:page;mso-height-relative:page;" filled="f" stroked="t" coordsize="21600,21600" o:gfxdata="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RrcFbUAAAABwEAAA8A&#10;AAAAAAAAAQAgAAAAIgAAAGRycy9kb3ducmV2LnhtbFBLAQIUABQAAAAIAIdO4kBFjrsMqQEAAEYD&#10;AAAOAAAAAAAAAAEAIAAAACMBAABkcnMvZTJvRG9jLnhtbFBLBQYAAAAABgAGAFkBAAA+BQAAAAA=&#10;">
                <v:fill on="f" focussize="0,0"/>
                <v:stroke color="#000000" joinstyle="round"/>
                <v:imagedata o:title=""/>
                <o:lock v:ext="edit" aspectratio="f"/>
              </v:line>
            </w:pict>
          </mc:Fallback>
        </mc:AlternateContent>
      </w:r>
    </w:p>
    <w:tbl>
      <w:tblPr>
        <w:tblStyle w:val="22"/>
        <w:tblW w:w="5620" w:type="dxa"/>
        <w:tblInd w:w="0" w:type="dxa"/>
        <w:tblLayout w:type="fixed"/>
        <w:tblCellMar>
          <w:top w:w="0" w:type="dxa"/>
          <w:left w:w="0" w:type="dxa"/>
          <w:bottom w:w="0" w:type="dxa"/>
          <w:right w:w="0" w:type="dxa"/>
        </w:tblCellMar>
      </w:tblPr>
      <w:tblGrid>
        <w:gridCol w:w="5620"/>
      </w:tblGrid>
      <w:tr>
        <w:tblPrEx>
          <w:tblLayout w:type="fixed"/>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tcMar>
              <w:top w:w="15" w:type="dxa"/>
              <w:left w:w="15" w:type="dxa"/>
              <w:bottom w:w="0" w:type="dxa"/>
              <w:right w:w="15" w:type="dxa"/>
            </w:tcMar>
            <w:vAlign w:val="center"/>
          </w:tcPr>
          <w:p>
            <w:pPr>
              <w:jc w:val="distribute"/>
              <w:rPr>
                <w:rFonts w:eastAsia="黑体"/>
                <w:sz w:val="28"/>
                <w:szCs w:val="28"/>
              </w:rPr>
            </w:pPr>
          </w:p>
          <w:p>
            <w:pPr>
              <w:jc w:val="distribute"/>
              <w:rPr>
                <w:rFonts w:eastAsia="黑体"/>
                <w:sz w:val="28"/>
                <w:szCs w:val="28"/>
              </w:rPr>
            </w:pPr>
            <w:r>
              <mc:AlternateContent>
                <mc:Choice Requires="wps">
                  <w:drawing>
                    <wp:anchor distT="0" distB="0" distL="0" distR="0" simplePos="0" relativeHeight="251657216" behindDoc="0" locked="0" layoutInCell="1" allowOverlap="1">
                      <wp:simplePos x="0" y="0"/>
                      <wp:positionH relativeFrom="column">
                        <wp:posOffset>4203065</wp:posOffset>
                      </wp:positionH>
                      <wp:positionV relativeFrom="paragraph">
                        <wp:posOffset>148590</wp:posOffset>
                      </wp:positionV>
                      <wp:extent cx="1175385" cy="488950"/>
                      <wp:effectExtent l="0" t="0" r="5715" b="6350"/>
                      <wp:wrapNone/>
                      <wp:docPr id="1028" name="文本框 5"/>
                      <wp:cNvGraphicFramePr/>
                      <a:graphic xmlns:a="http://schemas.openxmlformats.org/drawingml/2006/main">
                        <a:graphicData uri="http://schemas.microsoft.com/office/word/2010/wordprocessingShape">
                          <wps:wsp>
                            <wps:cNvSpPr/>
                            <wps:spPr>
                              <a:xfrm>
                                <a:off x="0" y="0"/>
                                <a:ext cx="1175385" cy="488950"/>
                              </a:xfrm>
                              <a:prstGeom prst="rect">
                                <a:avLst/>
                              </a:prstGeom>
                              <a:solidFill>
                                <a:srgbClr val="FFFFFF"/>
                              </a:solidFill>
                              <a:ln>
                                <a:noFill/>
                              </a:ln>
                            </wps:spPr>
                            <wps:txbx>
                              <w:txbxContent>
                                <w:p>
                                  <w:pPr>
                                    <w:rPr>
                                      <w:rFonts w:eastAsia="黑体"/>
                                      <w:sz w:val="28"/>
                                      <w:szCs w:val="28"/>
                                    </w:rPr>
                                  </w:pPr>
                                  <w:r>
                                    <w:rPr>
                                      <w:rFonts w:hint="eastAsia" w:eastAsia="黑体"/>
                                      <w:sz w:val="28"/>
                                      <w:szCs w:val="28"/>
                                    </w:rPr>
                                    <w:t>联合发布</w:t>
                                  </w:r>
                                </w:p>
                              </w:txbxContent>
                            </wps:txbx>
                            <wps:bodyPr vert="horz" wrap="square" lIns="91440" tIns="45720" rIns="91440" bIns="45720" anchor="t">
                              <a:noAutofit/>
                            </wps:bodyPr>
                          </wps:wsp>
                        </a:graphicData>
                      </a:graphic>
                    </wp:anchor>
                  </w:drawing>
                </mc:Choice>
                <mc:Fallback>
                  <w:pict>
                    <v:rect id="文本框 5" o:spid="_x0000_s1026" o:spt="1" style="position:absolute;left:0pt;margin-left:330.95pt;margin-top:11.7pt;height:38.5pt;width:92.55pt;z-index:251657216;mso-width-relative:page;mso-height-relative:page;" fillcolor="#FFFFFF" filled="t" stroked="f" coordsize="21600,21600" o:gfxdata="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K9a1wAAAAoBAAAPAAAAAAAAAAEA&#10;IAAAACIAAABkcnMvZG93bnJldi54bWxQSwECFAAUAAAACACHTuJAtW96ONcBAACJAwAADgAAAAAA&#10;AAABACAAAAAmAQAAZHJzL2Uyb0RvYy54bWxQSwUGAAAAAAYABgBZAQAAbwUAAAAA&#10;">
                      <v:fill on="t" focussize="0,0"/>
                      <v:stroke on="f"/>
                      <v:imagedata o:title=""/>
                      <o:lock v:ext="edit" aspectratio="f"/>
                      <v:textbox>
                        <w:txbxContent>
                          <w:p>
                            <w:pPr>
                              <w:rPr>
                                <w:rFonts w:eastAsia="黑体"/>
                                <w:sz w:val="28"/>
                                <w:szCs w:val="28"/>
                              </w:rPr>
                            </w:pPr>
                            <w:r>
                              <w:rPr>
                                <w:rFonts w:hint="eastAsia" w:eastAsia="黑体"/>
                                <w:sz w:val="28"/>
                                <w:szCs w:val="28"/>
                              </w:rPr>
                              <w:t>联合发布</w:t>
                            </w:r>
                          </w:p>
                        </w:txbxContent>
                      </v:textbox>
                    </v:rect>
                  </w:pict>
                </mc:Fallback>
              </mc:AlternateContent>
            </w:r>
            <w:r>
              <w:rPr>
                <w:rFonts w:eastAsia="黑体"/>
                <w:sz w:val="28"/>
                <w:szCs w:val="28"/>
              </w:rPr>
              <w:t>中华人民共和国住房和城乡建设部</w:t>
            </w:r>
          </w:p>
        </w:tc>
      </w:tr>
      <w:tr>
        <w:tblPrEx>
          <w:tblLayout w:type="fixed"/>
          <w:tblCellMar>
            <w:top w:w="0" w:type="dxa"/>
            <w:left w:w="0" w:type="dxa"/>
            <w:bottom w:w="0" w:type="dxa"/>
            <w:right w:w="0" w:type="dxa"/>
          </w:tblCellMar>
        </w:tblPrEx>
        <w:trPr>
          <w:trHeight w:val="375" w:hRule="atLeast"/>
        </w:trPr>
        <w:tc>
          <w:tcPr>
            <w:tcW w:w="5620" w:type="dxa"/>
            <w:tcBorders>
              <w:top w:val="nil"/>
              <w:left w:val="nil"/>
              <w:bottom w:val="nil"/>
              <w:right w:val="nil"/>
            </w:tcBorders>
            <w:shd w:val="clear" w:color="auto" w:fill="auto"/>
            <w:tcMar>
              <w:top w:w="15" w:type="dxa"/>
              <w:left w:w="15" w:type="dxa"/>
              <w:bottom w:w="0" w:type="dxa"/>
              <w:right w:w="15" w:type="dxa"/>
            </w:tcMar>
            <w:vAlign w:val="center"/>
          </w:tcPr>
          <w:p>
            <w:pPr>
              <w:jc w:val="distribute"/>
              <w:rPr>
                <w:rFonts w:eastAsia="黑体"/>
                <w:sz w:val="28"/>
                <w:szCs w:val="28"/>
              </w:rPr>
            </w:pPr>
            <w:r>
              <w:rPr>
                <w:rFonts w:hint="eastAsia" w:eastAsia="黑体"/>
                <w:sz w:val="28"/>
                <w:szCs w:val="28"/>
                <w:lang w:eastAsia="zh-CN"/>
              </w:rPr>
              <w:t>国家市场监督管理</w:t>
            </w:r>
            <w:r>
              <w:rPr>
                <w:rFonts w:eastAsia="黑体"/>
                <w:sz w:val="28"/>
                <w:szCs w:val="28"/>
              </w:rPr>
              <w:t>总局</w:t>
            </w:r>
          </w:p>
        </w:tc>
      </w:tr>
    </w:tbl>
    <w:p>
      <w:pPr>
        <w:ind w:firstLine="422" w:firstLineChars="200"/>
        <w:jc w:val="center"/>
        <w:rPr>
          <w:b/>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p>
      <w:pPr>
        <w:autoSpaceDE w:val="0"/>
        <w:autoSpaceDN w:val="0"/>
        <w:adjustRightInd w:val="0"/>
        <w:jc w:val="center"/>
        <w:rPr>
          <w:rFonts w:ascii="黑体" w:eastAsia="黑体" w:cs="黑体"/>
          <w:kern w:val="0"/>
          <w:sz w:val="32"/>
          <w:szCs w:val="32"/>
        </w:rPr>
      </w:pPr>
      <w:r>
        <w:rPr>
          <w:rFonts w:hint="eastAsia" w:ascii="黑体" w:eastAsia="黑体" w:cs="黑体"/>
          <w:kern w:val="0"/>
          <w:sz w:val="32"/>
          <w:szCs w:val="32"/>
        </w:rPr>
        <w:t>中华人民共和国国家标准</w:t>
      </w:r>
    </w:p>
    <w:p>
      <w:pPr>
        <w:pStyle w:val="47"/>
        <w:outlineLvl w:val="9"/>
        <w:rPr>
          <w:rFonts w:eastAsia="黑体"/>
          <w:w w:val="95"/>
          <w:sz w:val="48"/>
        </w:rPr>
      </w:pPr>
      <w:bookmarkStart w:id="1" w:name="_Toc512973477"/>
      <w:bookmarkStart w:id="2" w:name="_Toc513130743"/>
      <w:bookmarkStart w:id="3" w:name="_Toc511058212"/>
      <w:r>
        <w:rPr>
          <w:rFonts w:hint="eastAsia" w:eastAsia="黑体"/>
          <w:w w:val="95"/>
          <w:sz w:val="48"/>
        </w:rPr>
        <w:t>海绵城市建设评价标准</w:t>
      </w:r>
      <w:bookmarkEnd w:id="1"/>
      <w:bookmarkEnd w:id="2"/>
      <w:bookmarkEnd w:id="3"/>
    </w:p>
    <w:p>
      <w:pPr>
        <w:spacing w:line="360" w:lineRule="auto"/>
        <w:jc w:val="center"/>
        <w:rPr>
          <w:b/>
          <w:sz w:val="28"/>
          <w:szCs w:val="28"/>
        </w:rPr>
      </w:pPr>
      <w:r>
        <w:rPr>
          <w:rFonts w:hint="eastAsia"/>
          <w:b/>
          <w:sz w:val="28"/>
          <w:szCs w:val="28"/>
        </w:rPr>
        <w:t>Assessment standard for sponge city</w:t>
      </w:r>
    </w:p>
    <w:p>
      <w:pPr>
        <w:spacing w:line="360" w:lineRule="auto"/>
        <w:jc w:val="center"/>
        <w:rPr>
          <w:b/>
          <w:sz w:val="28"/>
          <w:szCs w:val="28"/>
        </w:rPr>
      </w:pPr>
    </w:p>
    <w:p>
      <w:pPr>
        <w:jc w:val="center"/>
        <w:rPr>
          <w:rFonts w:eastAsia="黑体"/>
          <w:b/>
          <w:kern w:val="0"/>
          <w:sz w:val="28"/>
          <w:szCs w:val="28"/>
        </w:rPr>
      </w:pPr>
    </w:p>
    <w:p>
      <w:pPr>
        <w:jc w:val="center"/>
        <w:rPr>
          <w:rFonts w:eastAsia="黑体"/>
          <w:b/>
          <w:kern w:val="0"/>
          <w:sz w:val="28"/>
          <w:szCs w:val="28"/>
        </w:rPr>
      </w:pPr>
      <w:r>
        <w:rPr>
          <w:rFonts w:eastAsia="黑体"/>
          <w:b/>
          <w:kern w:val="0"/>
          <w:sz w:val="28"/>
          <w:szCs w:val="28"/>
        </w:rPr>
        <w:t>GB</w:t>
      </w:r>
      <w:r>
        <w:rPr>
          <w:rFonts w:hint="eastAsia" w:eastAsia="黑体"/>
          <w:b/>
          <w:kern w:val="0"/>
          <w:sz w:val="28"/>
          <w:szCs w:val="28"/>
        </w:rPr>
        <w:t xml:space="preserve">/T </w:t>
      </w:r>
      <w:r>
        <w:rPr>
          <w:rFonts w:eastAsia="黑体"/>
          <w:kern w:val="0"/>
          <w:sz w:val="24"/>
        </w:rPr>
        <w:t>XXXX</w:t>
      </w:r>
      <w:r>
        <w:rPr>
          <w:rFonts w:hint="eastAsia" w:eastAsia="黑体"/>
          <w:b/>
          <w:kern w:val="0"/>
          <w:sz w:val="28"/>
          <w:szCs w:val="28"/>
        </w:rPr>
        <w:t xml:space="preserve"> -2018</w:t>
      </w:r>
    </w:p>
    <w:p>
      <w:pPr>
        <w:jc w:val="center"/>
        <w:rPr>
          <w:sz w:val="28"/>
          <w:szCs w:val="28"/>
        </w:rPr>
      </w:pPr>
    </w:p>
    <w:p>
      <w:pPr>
        <w:jc w:val="center"/>
        <w:rPr>
          <w:rFonts w:eastAsia="黑体"/>
          <w:kern w:val="0"/>
          <w:sz w:val="28"/>
          <w:szCs w:val="28"/>
        </w:rPr>
      </w:pPr>
    </w:p>
    <w:p>
      <w:pPr>
        <w:autoSpaceDE w:val="0"/>
        <w:autoSpaceDN w:val="0"/>
        <w:adjustRightInd w:val="0"/>
        <w:ind w:firstLine="1134" w:firstLineChars="405"/>
        <w:jc w:val="left"/>
        <w:rPr>
          <w:rFonts w:ascii="黑体" w:eastAsia="黑体" w:cs="黑体"/>
          <w:kern w:val="0"/>
          <w:sz w:val="28"/>
          <w:szCs w:val="28"/>
        </w:rPr>
      </w:pPr>
      <w:r>
        <w:rPr>
          <w:rFonts w:hint="eastAsia" w:ascii="黑体" w:eastAsia="黑体" w:cs="黑体"/>
          <w:kern w:val="0"/>
          <w:sz w:val="28"/>
          <w:szCs w:val="28"/>
        </w:rPr>
        <w:t>主编部门：</w:t>
      </w:r>
      <w:r>
        <w:rPr>
          <w:rFonts w:hint="eastAsia" w:ascii="黑体" w:hAnsi="黑体" w:eastAsia="黑体" w:cs="黑体"/>
          <w:kern w:val="0"/>
          <w:sz w:val="28"/>
          <w:szCs w:val="28"/>
        </w:rPr>
        <w:t>中华人民共和国</w:t>
      </w:r>
      <w:r>
        <w:rPr>
          <w:rFonts w:hint="eastAsia" w:ascii="黑体" w:hAnsi="黑体" w:eastAsia="黑体"/>
          <w:sz w:val="28"/>
          <w:szCs w:val="28"/>
        </w:rPr>
        <w:t>住房和城乡建设部</w:t>
      </w:r>
    </w:p>
    <w:p>
      <w:pPr>
        <w:autoSpaceDE w:val="0"/>
        <w:autoSpaceDN w:val="0"/>
        <w:adjustRightInd w:val="0"/>
        <w:ind w:firstLine="1134" w:firstLineChars="405"/>
        <w:jc w:val="left"/>
        <w:rPr>
          <w:rFonts w:ascii="黑体" w:eastAsia="黑体" w:cs="黑体"/>
          <w:kern w:val="0"/>
          <w:sz w:val="28"/>
          <w:szCs w:val="28"/>
        </w:rPr>
      </w:pPr>
      <w:r>
        <w:rPr>
          <w:rFonts w:hint="eastAsia" w:ascii="黑体" w:eastAsia="黑体" w:cs="黑体"/>
          <w:kern w:val="0"/>
          <w:sz w:val="28"/>
          <w:szCs w:val="28"/>
        </w:rPr>
        <w:t>批准部门：</w:t>
      </w:r>
      <w:r>
        <w:rPr>
          <w:rFonts w:hint="eastAsia" w:ascii="黑体" w:hAnsi="黑体" w:eastAsia="黑体" w:cs="黑体"/>
          <w:kern w:val="0"/>
          <w:sz w:val="28"/>
          <w:szCs w:val="28"/>
        </w:rPr>
        <w:t>中华人民共和国</w:t>
      </w:r>
      <w:r>
        <w:rPr>
          <w:rFonts w:hint="eastAsia" w:ascii="黑体" w:hAnsi="黑体" w:eastAsia="黑体"/>
          <w:sz w:val="28"/>
          <w:szCs w:val="28"/>
        </w:rPr>
        <w:t>住房和城乡建设部</w:t>
      </w:r>
    </w:p>
    <w:p>
      <w:pPr>
        <w:autoSpaceDE w:val="0"/>
        <w:autoSpaceDN w:val="0"/>
        <w:adjustRightInd w:val="0"/>
        <w:ind w:firstLine="1120" w:firstLineChars="400"/>
        <w:jc w:val="left"/>
        <w:rPr>
          <w:rFonts w:ascii="黑体" w:eastAsia="黑体" w:cs="黑体"/>
          <w:kern w:val="0"/>
          <w:sz w:val="28"/>
          <w:szCs w:val="28"/>
        </w:rPr>
      </w:pPr>
      <w:r>
        <w:rPr>
          <w:rFonts w:hint="eastAsia" w:ascii="黑体" w:eastAsia="黑体" w:cs="黑体"/>
          <w:kern w:val="0"/>
          <w:sz w:val="28"/>
          <w:szCs w:val="28"/>
        </w:rPr>
        <w:t>施行日期：</w:t>
      </w:r>
      <w:r>
        <w:rPr>
          <w:rFonts w:eastAsia="黑体"/>
          <w:spacing w:val="113"/>
          <w:sz w:val="28"/>
          <w:szCs w:val="28"/>
        </w:rPr>
        <w:t>20</w:t>
      </w:r>
      <w:r>
        <w:rPr>
          <w:rFonts w:hint="eastAsia" w:eastAsia="黑体"/>
          <w:spacing w:val="113"/>
          <w:sz w:val="28"/>
          <w:szCs w:val="28"/>
        </w:rPr>
        <w:t>18</w:t>
      </w:r>
      <w:r>
        <w:rPr>
          <w:rFonts w:eastAsia="黑体"/>
          <w:spacing w:val="113"/>
          <w:sz w:val="28"/>
          <w:szCs w:val="28"/>
          <w:lang w:val="zh-CN"/>
        </w:rPr>
        <w:t>年</w:t>
      </w:r>
      <w:r>
        <w:rPr>
          <w:rFonts w:hint="eastAsia" w:eastAsia="黑体"/>
          <w:spacing w:val="113"/>
          <w:sz w:val="28"/>
          <w:szCs w:val="28"/>
        </w:rPr>
        <w:t>XX</w:t>
      </w:r>
      <w:r>
        <w:rPr>
          <w:rFonts w:eastAsia="黑体"/>
          <w:spacing w:val="113"/>
          <w:sz w:val="28"/>
          <w:szCs w:val="28"/>
          <w:lang w:val="zh-CN"/>
        </w:rPr>
        <w:t>月</w:t>
      </w:r>
      <w:r>
        <w:rPr>
          <w:rFonts w:hint="eastAsia" w:eastAsia="黑体"/>
          <w:spacing w:val="113"/>
          <w:sz w:val="28"/>
          <w:szCs w:val="28"/>
        </w:rPr>
        <w:t>XX</w:t>
      </w:r>
      <w:r>
        <w:rPr>
          <w:rFonts w:eastAsia="黑体"/>
          <w:spacing w:val="113"/>
          <w:sz w:val="28"/>
          <w:szCs w:val="28"/>
          <w:lang w:val="zh-CN"/>
        </w:rPr>
        <w:t>日</w:t>
      </w:r>
    </w:p>
    <w:p>
      <w:pPr>
        <w:jc w:val="center"/>
        <w:rPr>
          <w:sz w:val="28"/>
        </w:rPr>
      </w:pPr>
    </w:p>
    <w:p>
      <w:pPr>
        <w:jc w:val="center"/>
        <w:rPr>
          <w:sz w:val="28"/>
        </w:rPr>
      </w:pPr>
    </w:p>
    <w:p>
      <w:pPr>
        <w:jc w:val="center"/>
        <w:rPr>
          <w:sz w:val="28"/>
        </w:rPr>
      </w:pPr>
    </w:p>
    <w:p>
      <w:pPr>
        <w:autoSpaceDE w:val="0"/>
        <w:autoSpaceDN w:val="0"/>
        <w:adjustRightInd w:val="0"/>
        <w:spacing w:line="360" w:lineRule="auto"/>
        <w:jc w:val="center"/>
        <w:rPr>
          <w:b/>
          <w:bCs/>
          <w:sz w:val="28"/>
          <w:szCs w:val="28"/>
          <w:lang w:val="zh-CN"/>
        </w:rPr>
      </w:pPr>
      <w:r>
        <w:rPr>
          <w:rFonts w:hint="eastAsia"/>
          <w:b/>
          <w:bCs/>
          <w:sz w:val="28"/>
          <w:szCs w:val="28"/>
          <w:lang w:val="zh-CN"/>
        </w:rPr>
        <w:t>中国建筑工业出版社</w:t>
      </w:r>
    </w:p>
    <w:p>
      <w:pPr>
        <w:autoSpaceDE w:val="0"/>
        <w:autoSpaceDN w:val="0"/>
        <w:adjustRightInd w:val="0"/>
        <w:spacing w:line="360" w:lineRule="auto"/>
        <w:jc w:val="center"/>
        <w:rPr>
          <w:b/>
          <w:sz w:val="32"/>
          <w:szCs w:val="32"/>
        </w:rPr>
      </w:pPr>
      <w:r>
        <w:rPr>
          <w:bCs/>
          <w:sz w:val="28"/>
          <w:szCs w:val="28"/>
          <w:lang w:val="zh-CN"/>
        </w:rPr>
        <w:t>20</w:t>
      </w:r>
      <w:r>
        <w:rPr>
          <w:rFonts w:hint="eastAsia"/>
          <w:bCs/>
          <w:sz w:val="28"/>
          <w:szCs w:val="28"/>
          <w:lang w:val="zh-CN"/>
        </w:rPr>
        <w:t>18</w:t>
      </w:r>
      <w:r>
        <w:rPr>
          <w:rFonts w:eastAsia="黑体"/>
          <w:bCs/>
          <w:sz w:val="28"/>
          <w:szCs w:val="28"/>
          <w:lang w:val="zh-CN"/>
        </w:rPr>
        <w:t xml:space="preserve">  </w:t>
      </w:r>
      <w:r>
        <w:rPr>
          <w:rFonts w:hint="eastAsia" w:eastAsia="黑体"/>
          <w:bCs/>
          <w:sz w:val="28"/>
          <w:szCs w:val="28"/>
          <w:lang w:val="zh-CN"/>
        </w:rPr>
        <w:t>北 京</w:t>
      </w:r>
    </w:p>
    <w:tbl>
      <w:tblPr>
        <w:tblStyle w:val="22"/>
        <w:tblW w:w="8991" w:type="dxa"/>
        <w:tblInd w:w="0" w:type="dxa"/>
        <w:tblLayout w:type="fixed"/>
        <w:tblCellMar>
          <w:top w:w="0" w:type="dxa"/>
          <w:left w:w="108" w:type="dxa"/>
          <w:bottom w:w="0" w:type="dxa"/>
          <w:right w:w="108" w:type="dxa"/>
        </w:tblCellMar>
      </w:tblPr>
      <w:tblGrid>
        <w:gridCol w:w="3187"/>
        <w:gridCol w:w="1076"/>
        <w:gridCol w:w="1261"/>
        <w:gridCol w:w="1258"/>
        <w:gridCol w:w="1872"/>
        <w:gridCol w:w="337"/>
      </w:tblGrid>
      <w:tr>
        <w:tblPrEx>
          <w:tblLayout w:type="fixed"/>
          <w:tblCellMar>
            <w:top w:w="0" w:type="dxa"/>
            <w:left w:w="108" w:type="dxa"/>
            <w:bottom w:w="0" w:type="dxa"/>
            <w:right w:w="108" w:type="dxa"/>
          </w:tblCellMar>
        </w:tblPrEx>
        <w:trPr>
          <w:trHeight w:val="539" w:hRule="exact"/>
        </w:trPr>
        <w:tc>
          <w:tcPr>
            <w:tcW w:w="3187" w:type="dxa"/>
            <w:shd w:val="clear" w:color="auto" w:fill="auto"/>
            <w:vAlign w:val="center"/>
          </w:tcPr>
          <w:p>
            <w:pPr>
              <w:widowControl/>
              <w:jc w:val="left"/>
              <w:rPr>
                <w:b/>
                <w:bCs/>
                <w:kern w:val="0"/>
                <w:sz w:val="28"/>
                <w:szCs w:val="28"/>
              </w:rPr>
            </w:pPr>
          </w:p>
        </w:tc>
        <w:tc>
          <w:tcPr>
            <w:tcW w:w="1076" w:type="dxa"/>
            <w:shd w:val="clear" w:color="auto" w:fill="auto"/>
          </w:tcPr>
          <w:p>
            <w:pPr>
              <w:rPr>
                <w:sz w:val="28"/>
              </w:rPr>
            </w:pPr>
          </w:p>
        </w:tc>
        <w:tc>
          <w:tcPr>
            <w:tcW w:w="1261" w:type="dxa"/>
            <w:shd w:val="clear" w:color="auto" w:fill="auto"/>
          </w:tcPr>
          <w:p>
            <w:pPr>
              <w:rPr>
                <w:sz w:val="28"/>
              </w:rPr>
            </w:pPr>
          </w:p>
        </w:tc>
        <w:tc>
          <w:tcPr>
            <w:tcW w:w="1258" w:type="dxa"/>
            <w:shd w:val="clear" w:color="auto" w:fill="auto"/>
            <w:vAlign w:val="center"/>
          </w:tcPr>
          <w:p>
            <w:pPr>
              <w:rPr>
                <w:b/>
                <w:bCs/>
                <w:kern w:val="0"/>
                <w:sz w:val="28"/>
                <w:szCs w:val="28"/>
              </w:rPr>
            </w:pPr>
          </w:p>
        </w:tc>
        <w:tc>
          <w:tcPr>
            <w:tcW w:w="1872" w:type="dxa"/>
            <w:shd w:val="clear" w:color="auto" w:fill="auto"/>
            <w:vAlign w:val="center"/>
          </w:tcPr>
          <w:p>
            <w:pPr>
              <w:rPr>
                <w:b/>
                <w:bCs/>
                <w:kern w:val="0"/>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c>
        <w:tc>
          <w:tcPr>
            <w:tcW w:w="337" w:type="dxa"/>
            <w:shd w:val="clear" w:color="auto" w:fill="auto"/>
            <w:vAlign w:val="center"/>
          </w:tcPr>
          <w:p>
            <w:pPr>
              <w:rPr>
                <w:b/>
                <w:bCs/>
                <w:kern w:val="0"/>
                <w:sz w:val="28"/>
                <w:szCs w:val="28"/>
              </w:rPr>
            </w:pPr>
          </w:p>
        </w:tc>
      </w:tr>
    </w:tbl>
    <w:p>
      <w:pPr>
        <w:sectPr>
          <w:footerReference r:id="rId5" w:type="default"/>
          <w:pgSz w:w="11906" w:h="16838"/>
          <w:pgMar w:top="1440" w:right="1800" w:bottom="1440" w:left="1800" w:header="851" w:footer="992" w:gutter="0"/>
          <w:pgNumType w:fmt="upperRoman" w:start="1"/>
          <w:cols w:space="425" w:num="1"/>
          <w:titlePg/>
          <w:docGrid w:type="lines" w:linePitch="312" w:charSpace="0"/>
        </w:sectPr>
      </w:pPr>
    </w:p>
    <w:bookmarkEnd w:id="0"/>
    <w:p>
      <w:pPr>
        <w:pStyle w:val="16"/>
        <w:jc w:val="center"/>
        <w:rPr>
          <w:spacing w:val="8"/>
          <w:sz w:val="28"/>
          <w:szCs w:val="28"/>
        </w:rPr>
      </w:pPr>
      <w:r>
        <w:rPr>
          <w:spacing w:val="8"/>
          <w:sz w:val="28"/>
          <w:szCs w:val="28"/>
        </w:rPr>
        <w:t>目</w:t>
      </w:r>
      <w:r>
        <w:rPr>
          <w:rFonts w:hint="eastAsia"/>
          <w:spacing w:val="8"/>
          <w:sz w:val="28"/>
          <w:szCs w:val="28"/>
        </w:rPr>
        <w:t xml:space="preserve">  次</w:t>
      </w:r>
    </w:p>
    <w:p>
      <w:pPr>
        <w:pStyle w:val="16"/>
        <w:rPr>
          <w:rFonts w:asciiTheme="minorHAnsi" w:hAnsiTheme="minorHAnsi" w:eastAsiaTheme="minorEastAsia" w:cstheme="minorBidi"/>
          <w:kern w:val="0"/>
          <w:sz w:val="24"/>
        </w:rPr>
      </w:pPr>
      <w:r>
        <w:rPr>
          <w:spacing w:val="8"/>
          <w:kern w:val="0"/>
          <w:sz w:val="28"/>
          <w:szCs w:val="28"/>
        </w:rPr>
        <w:fldChar w:fldCharType="begin"/>
      </w:r>
      <w:r>
        <w:rPr>
          <w:spacing w:val="8"/>
          <w:sz w:val="28"/>
          <w:szCs w:val="28"/>
        </w:rPr>
        <w:instrText xml:space="preserve"> TOC \o "1-3" \h \z \u </w:instrText>
      </w:r>
      <w:r>
        <w:rPr>
          <w:spacing w:val="8"/>
          <w:kern w:val="0"/>
          <w:sz w:val="28"/>
          <w:szCs w:val="28"/>
        </w:rPr>
        <w:fldChar w:fldCharType="separate"/>
      </w:r>
      <w:r>
        <w:fldChar w:fldCharType="begin"/>
      </w:r>
      <w:r>
        <w:instrText xml:space="preserve"> HYPERLINK \l "_Toc517339202" </w:instrText>
      </w:r>
      <w:r>
        <w:fldChar w:fldCharType="separate"/>
      </w:r>
      <w:r>
        <w:rPr>
          <w:rStyle w:val="20"/>
          <w:sz w:val="24"/>
        </w:rPr>
        <w:t xml:space="preserve">1 </w:t>
      </w:r>
      <w:r>
        <w:rPr>
          <w:rStyle w:val="20"/>
          <w:rFonts w:hint="eastAsia"/>
          <w:sz w:val="24"/>
        </w:rPr>
        <w:t>总则</w:t>
      </w:r>
      <w:r>
        <w:rPr>
          <w:sz w:val="24"/>
        </w:rPr>
        <w:tab/>
      </w:r>
      <w:r>
        <w:rPr>
          <w:sz w:val="24"/>
        </w:rPr>
        <w:fldChar w:fldCharType="begin"/>
      </w:r>
      <w:r>
        <w:rPr>
          <w:sz w:val="24"/>
        </w:rPr>
        <w:instrText xml:space="preserve"> PAGEREF _Toc517339202 \h </w:instrText>
      </w:r>
      <w:r>
        <w:rPr>
          <w:sz w:val="24"/>
        </w:rPr>
        <w:fldChar w:fldCharType="separate"/>
      </w:r>
      <w:r>
        <w:rPr>
          <w:sz w:val="24"/>
        </w:rPr>
        <w:t>1</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"_Toc517339203" </w:instrText>
      </w:r>
      <w:r>
        <w:fldChar w:fldCharType="separate"/>
      </w:r>
      <w:r>
        <w:rPr>
          <w:rStyle w:val="20"/>
          <w:sz w:val="24"/>
        </w:rPr>
        <w:t xml:space="preserve">2 </w:t>
      </w:r>
      <w:r>
        <w:rPr>
          <w:rStyle w:val="20"/>
          <w:rFonts w:hint="eastAsia"/>
          <w:sz w:val="24"/>
        </w:rPr>
        <w:t>术语</w:t>
      </w:r>
      <w:r>
        <w:rPr>
          <w:sz w:val="24"/>
        </w:rPr>
        <w:tab/>
      </w:r>
      <w:r>
        <w:rPr>
          <w:sz w:val="24"/>
        </w:rPr>
        <w:fldChar w:fldCharType="begin"/>
      </w:r>
      <w:r>
        <w:rPr>
          <w:sz w:val="24"/>
        </w:rPr>
        <w:instrText xml:space="preserve"> PAGEREF _Toc517339203 \h </w:instrText>
      </w:r>
      <w:r>
        <w:rPr>
          <w:sz w:val="24"/>
        </w:rPr>
        <w:fldChar w:fldCharType="separate"/>
      </w:r>
      <w:r>
        <w:rPr>
          <w:sz w:val="24"/>
        </w:rPr>
        <w:t>2</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"_Toc517339204" </w:instrText>
      </w:r>
      <w:r>
        <w:fldChar w:fldCharType="separate"/>
      </w:r>
      <w:r>
        <w:rPr>
          <w:rStyle w:val="20"/>
          <w:sz w:val="24"/>
        </w:rPr>
        <w:t xml:space="preserve">3 </w:t>
      </w:r>
      <w:r>
        <w:rPr>
          <w:rStyle w:val="20"/>
          <w:rFonts w:hint="eastAsia"/>
          <w:sz w:val="24"/>
        </w:rPr>
        <w:t>基本规定</w:t>
      </w:r>
      <w:r>
        <w:rPr>
          <w:sz w:val="24"/>
        </w:rPr>
        <w:tab/>
      </w:r>
      <w:r>
        <w:rPr>
          <w:sz w:val="24"/>
        </w:rPr>
        <w:fldChar w:fldCharType="begin"/>
      </w:r>
      <w:r>
        <w:rPr>
          <w:sz w:val="24"/>
        </w:rPr>
        <w:instrText xml:space="preserve"> PAGEREF _Toc517339204 \h </w:instrText>
      </w:r>
      <w:r>
        <w:rPr>
          <w:sz w:val="24"/>
        </w:rPr>
        <w:fldChar w:fldCharType="separate"/>
      </w:r>
      <w:r>
        <w:rPr>
          <w:sz w:val="24"/>
        </w:rPr>
        <w:t>4</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"_Toc517339205" </w:instrText>
      </w:r>
      <w:r>
        <w:fldChar w:fldCharType="separate"/>
      </w:r>
      <w:r>
        <w:rPr>
          <w:rStyle w:val="20"/>
          <w:sz w:val="24"/>
        </w:rPr>
        <w:t xml:space="preserve">4 </w:t>
      </w:r>
      <w:r>
        <w:rPr>
          <w:rStyle w:val="20"/>
          <w:rFonts w:hint="eastAsia"/>
          <w:sz w:val="24"/>
        </w:rPr>
        <w:t>评价内容</w:t>
      </w:r>
      <w:r>
        <w:rPr>
          <w:sz w:val="24"/>
        </w:rPr>
        <w:tab/>
      </w:r>
      <w:r>
        <w:rPr>
          <w:sz w:val="24"/>
        </w:rPr>
        <w:fldChar w:fldCharType="begin"/>
      </w:r>
      <w:r>
        <w:rPr>
          <w:sz w:val="24"/>
        </w:rPr>
        <w:instrText xml:space="preserve"> PAGEREF _Toc517339205 \h </w:instrText>
      </w:r>
      <w:r>
        <w:rPr>
          <w:sz w:val="24"/>
        </w:rPr>
        <w:fldChar w:fldCharType="separate"/>
      </w:r>
      <w:r>
        <w:rPr>
          <w:sz w:val="24"/>
        </w:rPr>
        <w:t>6</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"_Toc517339206" </w:instrText>
      </w:r>
      <w:r>
        <w:fldChar w:fldCharType="separate"/>
      </w:r>
      <w:r>
        <w:rPr>
          <w:rStyle w:val="20"/>
          <w:sz w:val="24"/>
        </w:rPr>
        <w:t xml:space="preserve">5 </w:t>
      </w:r>
      <w:r>
        <w:rPr>
          <w:rStyle w:val="20"/>
          <w:rFonts w:hint="eastAsia"/>
          <w:sz w:val="24"/>
        </w:rPr>
        <w:t>评价方法</w:t>
      </w:r>
      <w:r>
        <w:rPr>
          <w:sz w:val="24"/>
        </w:rPr>
        <w:tab/>
      </w:r>
      <w:r>
        <w:rPr>
          <w:sz w:val="24"/>
        </w:rPr>
        <w:fldChar w:fldCharType="begin"/>
      </w:r>
      <w:r>
        <w:rPr>
          <w:sz w:val="24"/>
        </w:rPr>
        <w:instrText xml:space="preserve"> PAGEREF _Toc517339206 \h </w:instrText>
      </w:r>
      <w:r>
        <w:rPr>
          <w:sz w:val="24"/>
        </w:rPr>
        <w:fldChar w:fldCharType="separate"/>
      </w:r>
      <w:r>
        <w:rPr>
          <w:sz w:val="24"/>
        </w:rPr>
        <w:t>12</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"_Toc517339207" </w:instrText>
      </w:r>
      <w:r>
        <w:fldChar w:fldCharType="separate"/>
      </w:r>
      <w:r>
        <w:rPr>
          <w:rStyle w:val="20"/>
          <w:sz w:val="24"/>
        </w:rPr>
        <w:t xml:space="preserve">5.1 </w:t>
      </w:r>
      <w:r>
        <w:rPr>
          <w:rStyle w:val="20"/>
          <w:rFonts w:hint="eastAsia"/>
          <w:sz w:val="24"/>
        </w:rPr>
        <w:t>雨水年径流总量控制率及其径流体积（海绵体）控制</w:t>
      </w:r>
      <w:r>
        <w:rPr>
          <w:sz w:val="24"/>
        </w:rPr>
        <w:tab/>
      </w:r>
      <w:r>
        <w:rPr>
          <w:sz w:val="24"/>
        </w:rPr>
        <w:fldChar w:fldCharType="begin"/>
      </w:r>
      <w:r>
        <w:rPr>
          <w:sz w:val="24"/>
        </w:rPr>
        <w:instrText xml:space="preserve"> PAGEREF _Toc517339207 \h </w:instrText>
      </w:r>
      <w:r>
        <w:rPr>
          <w:sz w:val="24"/>
        </w:rPr>
        <w:fldChar w:fldCharType="separate"/>
      </w:r>
      <w:r>
        <w:rPr>
          <w:sz w:val="24"/>
        </w:rPr>
        <w:t>12</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"_Toc517339208" </w:instrText>
      </w:r>
      <w:r>
        <w:fldChar w:fldCharType="separate"/>
      </w:r>
      <w:r>
        <w:rPr>
          <w:rStyle w:val="20"/>
          <w:sz w:val="24"/>
        </w:rPr>
        <w:t xml:space="preserve">5.2 </w:t>
      </w:r>
      <w:r>
        <w:rPr>
          <w:rStyle w:val="20"/>
          <w:rFonts w:hint="eastAsia"/>
          <w:sz w:val="24"/>
        </w:rPr>
        <w:t>路面积水控制与内涝防治</w:t>
      </w:r>
      <w:r>
        <w:rPr>
          <w:sz w:val="24"/>
        </w:rPr>
        <w:tab/>
      </w:r>
      <w:r>
        <w:rPr>
          <w:sz w:val="24"/>
        </w:rPr>
        <w:fldChar w:fldCharType="begin"/>
      </w:r>
      <w:r>
        <w:rPr>
          <w:sz w:val="24"/>
        </w:rPr>
        <w:instrText xml:space="preserve"> PAGEREF _Toc517339208 \h </w:instrText>
      </w:r>
      <w:r>
        <w:rPr>
          <w:sz w:val="24"/>
        </w:rPr>
        <w:fldChar w:fldCharType="separate"/>
      </w:r>
      <w:r>
        <w:rPr>
          <w:sz w:val="24"/>
        </w:rPr>
        <w:t>14</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"_Toc517339209" </w:instrText>
      </w:r>
      <w:r>
        <w:fldChar w:fldCharType="separate"/>
      </w:r>
      <w:r>
        <w:rPr>
          <w:rStyle w:val="20"/>
          <w:sz w:val="24"/>
        </w:rPr>
        <w:t xml:space="preserve">5.3 </w:t>
      </w:r>
      <w:r>
        <w:rPr>
          <w:rStyle w:val="20"/>
          <w:rFonts w:hint="eastAsia"/>
          <w:sz w:val="24"/>
        </w:rPr>
        <w:t>城市水体环境质量</w:t>
      </w:r>
      <w:r>
        <w:rPr>
          <w:sz w:val="24"/>
        </w:rPr>
        <w:tab/>
      </w:r>
      <w:r>
        <w:rPr>
          <w:sz w:val="24"/>
        </w:rPr>
        <w:fldChar w:fldCharType="begin"/>
      </w:r>
      <w:r>
        <w:rPr>
          <w:sz w:val="24"/>
        </w:rPr>
        <w:instrText xml:space="preserve"> PAGEREF _Toc517339209 \h </w:instrText>
      </w:r>
      <w:r>
        <w:rPr>
          <w:sz w:val="24"/>
        </w:rPr>
        <w:fldChar w:fldCharType="separate"/>
      </w:r>
      <w:r>
        <w:rPr>
          <w:sz w:val="24"/>
        </w:rPr>
        <w:t>15</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"_Toc517339210" </w:instrText>
      </w:r>
      <w:r>
        <w:fldChar w:fldCharType="separate"/>
      </w:r>
      <w:r>
        <w:rPr>
          <w:rStyle w:val="20"/>
          <w:sz w:val="24"/>
        </w:rPr>
        <w:t xml:space="preserve">5.4 </w:t>
      </w:r>
      <w:r>
        <w:rPr>
          <w:rStyle w:val="20"/>
          <w:rFonts w:hint="eastAsia"/>
          <w:sz w:val="24"/>
        </w:rPr>
        <w:t>项目实施有效性</w:t>
      </w:r>
      <w:r>
        <w:rPr>
          <w:sz w:val="24"/>
        </w:rPr>
        <w:tab/>
      </w:r>
      <w:r>
        <w:rPr>
          <w:sz w:val="24"/>
        </w:rPr>
        <w:fldChar w:fldCharType="begin"/>
      </w:r>
      <w:r>
        <w:rPr>
          <w:sz w:val="24"/>
        </w:rPr>
        <w:instrText xml:space="preserve"> PAGEREF _Toc517339210 \h </w:instrText>
      </w:r>
      <w:r>
        <w:rPr>
          <w:sz w:val="24"/>
        </w:rPr>
        <w:fldChar w:fldCharType="separate"/>
      </w:r>
      <w:r>
        <w:rPr>
          <w:sz w:val="24"/>
        </w:rPr>
        <w:t>16</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"_Toc517339211" </w:instrText>
      </w:r>
      <w:r>
        <w:fldChar w:fldCharType="separate"/>
      </w:r>
      <w:r>
        <w:rPr>
          <w:rStyle w:val="20"/>
          <w:sz w:val="24"/>
        </w:rPr>
        <w:t xml:space="preserve">5.5 </w:t>
      </w:r>
      <w:r>
        <w:rPr>
          <w:rStyle w:val="20"/>
          <w:rFonts w:hint="eastAsia"/>
          <w:sz w:val="24"/>
        </w:rPr>
        <w:t>自然生态格局管控与水体生态岸线保护</w:t>
      </w:r>
      <w:r>
        <w:rPr>
          <w:sz w:val="24"/>
        </w:rPr>
        <w:tab/>
      </w:r>
      <w:r>
        <w:rPr>
          <w:sz w:val="24"/>
        </w:rPr>
        <w:fldChar w:fldCharType="begin"/>
      </w:r>
      <w:r>
        <w:rPr>
          <w:sz w:val="24"/>
        </w:rPr>
        <w:instrText xml:space="preserve"> PAGEREF _Toc517339211 \h </w:instrText>
      </w:r>
      <w:r>
        <w:rPr>
          <w:sz w:val="24"/>
        </w:rPr>
        <w:fldChar w:fldCharType="separate"/>
      </w:r>
      <w:r>
        <w:rPr>
          <w:sz w:val="24"/>
        </w:rPr>
        <w:t>17</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"_Toc517339212" </w:instrText>
      </w:r>
      <w:r>
        <w:fldChar w:fldCharType="separate"/>
      </w:r>
      <w:r>
        <w:rPr>
          <w:rStyle w:val="20"/>
          <w:sz w:val="24"/>
        </w:rPr>
        <w:t xml:space="preserve">5.6 </w:t>
      </w:r>
      <w:r>
        <w:rPr>
          <w:rStyle w:val="20"/>
          <w:rFonts w:hint="eastAsia"/>
          <w:sz w:val="24"/>
        </w:rPr>
        <w:t>地下水埋深变化趋势</w:t>
      </w:r>
      <w:r>
        <w:rPr>
          <w:sz w:val="24"/>
        </w:rPr>
        <w:tab/>
      </w:r>
      <w:r>
        <w:rPr>
          <w:sz w:val="24"/>
        </w:rPr>
        <w:fldChar w:fldCharType="begin"/>
      </w:r>
      <w:r>
        <w:rPr>
          <w:sz w:val="24"/>
        </w:rPr>
        <w:instrText xml:space="preserve"> PAGEREF _Toc517339212 \h </w:instrText>
      </w:r>
      <w:r>
        <w:rPr>
          <w:sz w:val="24"/>
        </w:rPr>
        <w:fldChar w:fldCharType="separate"/>
      </w:r>
      <w:r>
        <w:rPr>
          <w:sz w:val="24"/>
        </w:rPr>
        <w:t>18</w:t>
      </w:r>
      <w:r>
        <w:rPr>
          <w:sz w:val="24"/>
        </w:rPr>
        <w:fldChar w:fldCharType="end"/>
      </w:r>
      <w:r>
        <w:rPr>
          <w:sz w:val="24"/>
        </w:rPr>
        <w:fldChar w:fldCharType="end"/>
      </w:r>
    </w:p>
    <w:p>
      <w:pPr>
        <w:pStyle w:val="17"/>
        <w:tabs>
          <w:tab w:val="right" w:leader="dot" w:pos="8296"/>
        </w:tabs>
        <w:rPr>
          <w:rFonts w:asciiTheme="minorHAnsi" w:hAnsiTheme="minorHAnsi" w:eastAsiaTheme="minorEastAsia" w:cstheme="minorBidi"/>
          <w:kern w:val="0"/>
          <w:sz w:val="24"/>
        </w:rPr>
      </w:pPr>
      <w:r>
        <w:fldChar w:fldCharType="begin"/>
      </w:r>
      <w:r>
        <w:instrText xml:space="preserve"> HYPERLINK \l "_Toc517339213" </w:instrText>
      </w:r>
      <w:r>
        <w:fldChar w:fldCharType="separate"/>
      </w:r>
      <w:r>
        <w:rPr>
          <w:rStyle w:val="20"/>
          <w:sz w:val="24"/>
        </w:rPr>
        <w:t xml:space="preserve">5.7 </w:t>
      </w:r>
      <w:r>
        <w:rPr>
          <w:rStyle w:val="20"/>
          <w:rFonts w:hint="eastAsia"/>
          <w:sz w:val="24"/>
        </w:rPr>
        <w:t>城市热岛效应缓解</w:t>
      </w:r>
      <w:r>
        <w:rPr>
          <w:sz w:val="24"/>
        </w:rPr>
        <w:tab/>
      </w:r>
      <w:r>
        <w:rPr>
          <w:sz w:val="24"/>
        </w:rPr>
        <w:fldChar w:fldCharType="begin"/>
      </w:r>
      <w:r>
        <w:rPr>
          <w:sz w:val="24"/>
        </w:rPr>
        <w:instrText xml:space="preserve"> PAGEREF _Toc517339213 \h </w:instrText>
      </w:r>
      <w:r>
        <w:rPr>
          <w:sz w:val="24"/>
        </w:rPr>
        <w:fldChar w:fldCharType="separate"/>
      </w:r>
      <w:r>
        <w:rPr>
          <w:sz w:val="24"/>
        </w:rPr>
        <w:t>18</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"_Toc517339214" </w:instrText>
      </w:r>
      <w:r>
        <w:fldChar w:fldCharType="separate"/>
      </w:r>
      <w:r>
        <w:rPr>
          <w:rStyle w:val="20"/>
          <w:rFonts w:hint="eastAsia"/>
          <w:sz w:val="24"/>
        </w:rPr>
        <w:t>附录</w:t>
      </w:r>
      <w:r>
        <w:rPr>
          <w:rStyle w:val="20"/>
          <w:sz w:val="24"/>
        </w:rPr>
        <w:t xml:space="preserve"> </w:t>
      </w:r>
      <w:r>
        <w:rPr>
          <w:rStyle w:val="20"/>
          <w:rFonts w:hint="eastAsia"/>
          <w:sz w:val="24"/>
        </w:rPr>
        <w:t>雨水年径流总量控制率与降雨深度的关系及其应用</w:t>
      </w:r>
      <w:r>
        <w:rPr>
          <w:sz w:val="24"/>
        </w:rPr>
        <w:tab/>
      </w:r>
      <w:r>
        <w:rPr>
          <w:sz w:val="24"/>
        </w:rPr>
        <w:fldChar w:fldCharType="begin"/>
      </w:r>
      <w:r>
        <w:rPr>
          <w:sz w:val="24"/>
        </w:rPr>
        <w:instrText xml:space="preserve"> PAGEREF _Toc517339214 \h </w:instrText>
      </w:r>
      <w:r>
        <w:rPr>
          <w:sz w:val="24"/>
        </w:rPr>
        <w:fldChar w:fldCharType="separate"/>
      </w:r>
      <w:r>
        <w:rPr>
          <w:sz w:val="24"/>
        </w:rPr>
        <w:t>20</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"_Toc517339215" </w:instrText>
      </w:r>
      <w:r>
        <w:fldChar w:fldCharType="separate"/>
      </w:r>
      <w:r>
        <w:rPr>
          <w:rStyle w:val="20"/>
          <w:rFonts w:hint="eastAsia"/>
          <w:sz w:val="24"/>
        </w:rPr>
        <w:t>本标准用词说明</w:t>
      </w:r>
      <w:r>
        <w:rPr>
          <w:sz w:val="24"/>
        </w:rPr>
        <w:tab/>
      </w:r>
      <w:r>
        <w:rPr>
          <w:sz w:val="24"/>
        </w:rPr>
        <w:fldChar w:fldCharType="begin"/>
      </w:r>
      <w:r>
        <w:rPr>
          <w:sz w:val="24"/>
        </w:rPr>
        <w:instrText xml:space="preserve"> PAGEREF _Toc517339215 \h </w:instrText>
      </w:r>
      <w:r>
        <w:rPr>
          <w:sz w:val="24"/>
        </w:rPr>
        <w:fldChar w:fldCharType="separate"/>
      </w:r>
      <w:r>
        <w:rPr>
          <w:sz w:val="24"/>
        </w:rPr>
        <w:t>25</w:t>
      </w:r>
      <w:r>
        <w:rPr>
          <w:sz w:val="24"/>
        </w:rPr>
        <w:fldChar w:fldCharType="end"/>
      </w:r>
      <w:r>
        <w:rPr>
          <w:sz w:val="24"/>
        </w:rPr>
        <w:fldChar w:fldCharType="end"/>
      </w:r>
    </w:p>
    <w:p>
      <w:pPr>
        <w:pStyle w:val="16"/>
        <w:rPr>
          <w:rFonts w:asciiTheme="minorHAnsi" w:hAnsiTheme="minorHAnsi" w:eastAsiaTheme="minorEastAsia" w:cstheme="minorBidi"/>
          <w:kern w:val="0"/>
          <w:sz w:val="24"/>
        </w:rPr>
      </w:pPr>
      <w:r>
        <w:fldChar w:fldCharType="begin"/>
      </w:r>
      <w:r>
        <w:instrText xml:space="preserve"> HYPERLINK \l "_Toc517339216" </w:instrText>
      </w:r>
      <w:r>
        <w:fldChar w:fldCharType="separate"/>
      </w:r>
      <w:r>
        <w:rPr>
          <w:rStyle w:val="20"/>
          <w:rFonts w:hint="eastAsia"/>
          <w:sz w:val="24"/>
        </w:rPr>
        <w:t>引用标准名录</w:t>
      </w:r>
      <w:r>
        <w:rPr>
          <w:sz w:val="24"/>
        </w:rPr>
        <w:tab/>
      </w:r>
      <w:r>
        <w:rPr>
          <w:sz w:val="24"/>
        </w:rPr>
        <w:fldChar w:fldCharType="begin"/>
      </w:r>
      <w:r>
        <w:rPr>
          <w:sz w:val="24"/>
        </w:rPr>
        <w:instrText xml:space="preserve"> PAGEREF _Toc517339216 \h </w:instrText>
      </w:r>
      <w:r>
        <w:rPr>
          <w:sz w:val="24"/>
        </w:rPr>
        <w:fldChar w:fldCharType="separate"/>
      </w:r>
      <w:r>
        <w:rPr>
          <w:sz w:val="24"/>
        </w:rPr>
        <w:t>26</w:t>
      </w:r>
      <w:r>
        <w:rPr>
          <w:sz w:val="24"/>
        </w:rPr>
        <w:fldChar w:fldCharType="end"/>
      </w:r>
      <w:r>
        <w:rPr>
          <w:sz w:val="24"/>
        </w:rPr>
        <w:fldChar w:fldCharType="end"/>
      </w:r>
    </w:p>
    <w:p>
      <w:pPr>
        <w:snapToGrid w:val="0"/>
        <w:spacing w:after="0" w:line="360" w:lineRule="auto"/>
        <w:contextualSpacing/>
        <w:rPr>
          <w:sz w:val="24"/>
          <w:lang w:val="zh-CN"/>
        </w:rPr>
      </w:pPr>
      <w:r>
        <w:rPr>
          <w:rFonts w:ascii="宋体" w:hAnsi="宋体"/>
          <w:b/>
          <w:bCs/>
          <w:sz w:val="28"/>
          <w:szCs w:val="28"/>
          <w:lang w:val="zh-CN"/>
        </w:rPr>
        <w:fldChar w:fldCharType="end"/>
      </w:r>
    </w:p>
    <w:p>
      <w:pPr>
        <w:widowControl/>
        <w:jc w:val="left"/>
        <w:rPr>
          <w:b/>
          <w:spacing w:val="8"/>
          <w:kern w:val="0"/>
          <w:sz w:val="32"/>
          <w:szCs w:val="32"/>
        </w:rPr>
      </w:pPr>
      <w:bookmarkStart w:id="4" w:name="_Toc511058213"/>
      <w:r>
        <w:rPr>
          <w:bCs/>
          <w:spacing w:val="8"/>
          <w:sz w:val="32"/>
          <w:szCs w:val="32"/>
        </w:rPr>
        <w:br w:type="page"/>
      </w:r>
    </w:p>
    <w:p>
      <w:pPr>
        <w:pStyle w:val="48"/>
        <w:spacing w:before="312"/>
        <w:jc w:val="center"/>
        <w:rPr>
          <w:rFonts w:ascii="Times New Roman" w:hAnsi="Times New Roman" w:cs="Times New Roman"/>
          <w:bCs w:val="0"/>
          <w:color w:val="auto"/>
          <w:spacing w:val="8"/>
          <w:sz w:val="32"/>
          <w:szCs w:val="32"/>
        </w:rPr>
      </w:pPr>
      <w:r>
        <w:rPr>
          <w:rFonts w:hint="eastAsia" w:ascii="Times New Roman" w:hAnsi="Times New Roman" w:cs="Times New Roman"/>
          <w:bCs w:val="0"/>
          <w:color w:val="auto"/>
          <w:spacing w:val="8"/>
          <w:sz w:val="32"/>
          <w:szCs w:val="32"/>
        </w:rPr>
        <w:t>Contents</w:t>
      </w:r>
      <w:bookmarkEnd w:id="4"/>
    </w:p>
    <w:p>
      <w:pPr>
        <w:pStyle w:val="49"/>
        <w:spacing w:before="0" w:beforeAutospacing="0" w:after="0" w:afterAutospacing="0" w:line="360" w:lineRule="auto"/>
        <w:jc w:val="both"/>
        <w:rPr>
          <w:rFonts w:eastAsia="宋体"/>
          <w:sz w:val="21"/>
          <w:szCs w:val="21"/>
        </w:rPr>
      </w:pPr>
      <w:r>
        <w:rPr>
          <w:sz w:val="21"/>
          <w:szCs w:val="21"/>
        </w:rPr>
        <w:t>1 General Provisions</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..1</w:t>
      </w:r>
    </w:p>
    <w:p>
      <w:pPr>
        <w:pStyle w:val="49"/>
        <w:spacing w:before="0" w:beforeAutospacing="0" w:after="0" w:afterAutospacing="0" w:line="360" w:lineRule="auto"/>
        <w:rPr>
          <w:rFonts w:eastAsia="宋体"/>
          <w:sz w:val="21"/>
          <w:szCs w:val="21"/>
        </w:rPr>
      </w:pPr>
      <w:r>
        <w:rPr>
          <w:sz w:val="21"/>
          <w:szCs w:val="21"/>
        </w:rPr>
        <w:t>2 Terms</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..2</w:t>
      </w:r>
    </w:p>
    <w:p>
      <w:pPr>
        <w:pStyle w:val="49"/>
        <w:spacing w:before="0" w:beforeAutospacing="0" w:after="0" w:afterAutospacing="0" w:line="360" w:lineRule="auto"/>
        <w:rPr>
          <w:rFonts w:eastAsia="宋体"/>
          <w:sz w:val="21"/>
          <w:szCs w:val="21"/>
        </w:rPr>
      </w:pPr>
      <w:r>
        <w:rPr>
          <w:sz w:val="21"/>
          <w:szCs w:val="21"/>
        </w:rPr>
        <w:t xml:space="preserve">3 </w:t>
      </w:r>
      <w:r>
        <w:rPr>
          <w:rFonts w:hint="eastAsia" w:eastAsia="宋体"/>
          <w:sz w:val="21"/>
          <w:szCs w:val="21"/>
        </w:rPr>
        <w:t>Basic Requirements</w:t>
      </w:r>
      <w:r>
        <w:rPr>
          <w:rFonts w:eastAsia="宋体"/>
          <w:sz w:val="21"/>
          <w:szCs w:val="21"/>
        </w:rPr>
        <w:t>……………………………………………………………………………</w:t>
      </w:r>
      <w:r>
        <w:rPr>
          <w:rFonts w:hint="eastAsia" w:eastAsia="宋体"/>
          <w:sz w:val="21"/>
          <w:szCs w:val="21"/>
        </w:rPr>
        <w:t>..</w:t>
      </w:r>
      <w:r>
        <w:rPr>
          <w:rFonts w:eastAsia="宋体"/>
          <w:sz w:val="21"/>
          <w:szCs w:val="21"/>
        </w:rPr>
        <w:t>4</w:t>
      </w:r>
    </w:p>
    <w:p>
      <w:pPr>
        <w:pStyle w:val="49"/>
        <w:spacing w:before="0" w:beforeAutospacing="0" w:after="0" w:afterAutospacing="0" w:line="360" w:lineRule="auto"/>
        <w:rPr>
          <w:rFonts w:eastAsia="宋体"/>
          <w:sz w:val="21"/>
          <w:szCs w:val="21"/>
        </w:rPr>
      </w:pPr>
      <w:r>
        <w:rPr>
          <w:sz w:val="21"/>
          <w:szCs w:val="21"/>
        </w:rPr>
        <w:t>4</w:t>
      </w:r>
      <w:r>
        <w:rPr>
          <w:rFonts w:hint="eastAsia" w:eastAsia="宋体"/>
          <w:sz w:val="21"/>
          <w:szCs w:val="21"/>
        </w:rPr>
        <w:t xml:space="preserve"> Assessment Items</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w:t>
      </w:r>
      <w:r>
        <w:rPr>
          <w:rFonts w:eastAsia="宋体"/>
          <w:sz w:val="21"/>
          <w:szCs w:val="21"/>
        </w:rPr>
        <w:t>6</w:t>
      </w:r>
    </w:p>
    <w:p>
      <w:pPr>
        <w:pStyle w:val="49"/>
        <w:spacing w:before="0" w:beforeAutospacing="0" w:after="0" w:afterAutospacing="0" w:line="360" w:lineRule="auto"/>
        <w:rPr>
          <w:rFonts w:eastAsia="宋体"/>
          <w:sz w:val="21"/>
          <w:szCs w:val="21"/>
        </w:rPr>
      </w:pPr>
      <w:r>
        <w:rPr>
          <w:sz w:val="21"/>
          <w:szCs w:val="21"/>
        </w:rPr>
        <w:t>5</w:t>
      </w:r>
      <w:r>
        <w:rPr>
          <w:rFonts w:hint="eastAsia" w:eastAsia="宋体"/>
          <w:sz w:val="21"/>
          <w:szCs w:val="21"/>
        </w:rPr>
        <w:t xml:space="preserve"> Assessment Method</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w:t>
      </w:r>
      <w:r>
        <w:rPr>
          <w:rFonts w:eastAsia="宋体"/>
          <w:sz w:val="21"/>
          <w:szCs w:val="21"/>
        </w:rPr>
        <w:t>12</w:t>
      </w:r>
    </w:p>
    <w:p>
      <w:pPr>
        <w:pStyle w:val="49"/>
        <w:spacing w:before="0" w:beforeAutospacing="0" w:after="0" w:afterAutospacing="0" w:line="360" w:lineRule="auto"/>
        <w:ind w:firstLine="280"/>
        <w:rPr>
          <w:rFonts w:eastAsia="宋体"/>
          <w:sz w:val="21"/>
          <w:szCs w:val="21"/>
        </w:rPr>
      </w:pPr>
      <w:r>
        <w:rPr>
          <w:sz w:val="21"/>
          <w:szCs w:val="21"/>
        </w:rPr>
        <w:t>5.</w:t>
      </w:r>
      <w:r>
        <w:rPr>
          <w:rFonts w:eastAsia="宋体"/>
          <w:sz w:val="21"/>
          <w:szCs w:val="21"/>
        </w:rPr>
        <w:t xml:space="preserve">1 </w:t>
      </w:r>
      <w:r>
        <w:rPr>
          <w:rFonts w:hint="eastAsia" w:eastAsia="宋体"/>
          <w:sz w:val="21"/>
          <w:szCs w:val="21"/>
        </w:rPr>
        <w:t>V</w:t>
      </w:r>
      <w:r>
        <w:rPr>
          <w:rFonts w:eastAsia="宋体"/>
          <w:sz w:val="21"/>
          <w:szCs w:val="21"/>
        </w:rPr>
        <w:t xml:space="preserve">olume </w:t>
      </w:r>
      <w:r>
        <w:rPr>
          <w:rFonts w:hint="eastAsia" w:eastAsia="宋体"/>
          <w:sz w:val="21"/>
          <w:szCs w:val="21"/>
        </w:rPr>
        <w:t>C</w:t>
      </w:r>
      <w:r>
        <w:rPr>
          <w:rFonts w:eastAsia="宋体"/>
          <w:sz w:val="21"/>
          <w:szCs w:val="21"/>
        </w:rPr>
        <w:t xml:space="preserve">apture </w:t>
      </w:r>
      <w:r>
        <w:rPr>
          <w:rFonts w:hint="eastAsia" w:eastAsia="宋体"/>
          <w:sz w:val="21"/>
          <w:szCs w:val="21"/>
        </w:rPr>
        <w:t>R</w:t>
      </w:r>
      <w:r>
        <w:rPr>
          <w:rFonts w:eastAsia="宋体"/>
          <w:sz w:val="21"/>
          <w:szCs w:val="21"/>
        </w:rPr>
        <w:t xml:space="preserve">atio of </w:t>
      </w:r>
      <w:r>
        <w:rPr>
          <w:rFonts w:hint="eastAsia" w:eastAsia="宋体"/>
          <w:sz w:val="21"/>
          <w:szCs w:val="21"/>
        </w:rPr>
        <w:t>A</w:t>
      </w:r>
      <w:r>
        <w:rPr>
          <w:rFonts w:eastAsia="宋体"/>
          <w:sz w:val="21"/>
          <w:szCs w:val="21"/>
        </w:rPr>
        <w:t xml:space="preserve">nnual </w:t>
      </w:r>
      <w:r>
        <w:rPr>
          <w:rFonts w:hint="eastAsia" w:eastAsia="宋体"/>
          <w:sz w:val="21"/>
          <w:szCs w:val="21"/>
        </w:rPr>
        <w:t>R</w:t>
      </w:r>
      <w:r>
        <w:rPr>
          <w:rFonts w:eastAsia="宋体"/>
          <w:sz w:val="21"/>
          <w:szCs w:val="21"/>
        </w:rPr>
        <w:t>ainfall………………………………………………</w:t>
      </w:r>
      <w:r>
        <w:rPr>
          <w:rFonts w:hint="eastAsia" w:eastAsia="宋体"/>
          <w:sz w:val="21"/>
          <w:szCs w:val="21"/>
        </w:rPr>
        <w:t>..</w:t>
      </w:r>
      <w:r>
        <w:rPr>
          <w:rFonts w:eastAsia="宋体"/>
          <w:sz w:val="21"/>
          <w:szCs w:val="21"/>
        </w:rPr>
        <w:t>12</w:t>
      </w:r>
    </w:p>
    <w:p>
      <w:pPr>
        <w:pStyle w:val="49"/>
        <w:spacing w:before="0" w:beforeAutospacing="0" w:after="0" w:afterAutospacing="0" w:line="360" w:lineRule="auto"/>
        <w:ind w:firstLine="280"/>
        <w:rPr>
          <w:rFonts w:eastAsia="宋体"/>
          <w:sz w:val="21"/>
          <w:szCs w:val="21"/>
        </w:rPr>
      </w:pPr>
      <w:r>
        <w:rPr>
          <w:rFonts w:hint="eastAsia" w:eastAsia="宋体"/>
          <w:sz w:val="21"/>
          <w:szCs w:val="21"/>
        </w:rPr>
        <w:t>5.</w:t>
      </w:r>
      <w:r>
        <w:rPr>
          <w:rFonts w:eastAsia="宋体"/>
          <w:sz w:val="21"/>
          <w:szCs w:val="21"/>
        </w:rPr>
        <w:t>2</w:t>
      </w:r>
      <w:r>
        <w:rPr>
          <w:rFonts w:hint="eastAsia" w:eastAsia="宋体"/>
          <w:sz w:val="21"/>
          <w:szCs w:val="21"/>
        </w:rPr>
        <w:t xml:space="preserve"> Road Surface Ponding and Local Flood Control</w:t>
      </w:r>
      <w:r>
        <w:rPr>
          <w:rFonts w:eastAsia="宋体"/>
          <w:sz w:val="21"/>
          <w:szCs w:val="21"/>
        </w:rPr>
        <w:t>…………………………………………</w:t>
      </w:r>
      <w:r>
        <w:rPr>
          <w:rFonts w:hint="eastAsia" w:eastAsia="宋体"/>
          <w:sz w:val="21"/>
          <w:szCs w:val="21"/>
        </w:rPr>
        <w:t>.</w:t>
      </w:r>
      <w:r>
        <w:rPr>
          <w:rFonts w:eastAsia="宋体"/>
          <w:sz w:val="21"/>
          <w:szCs w:val="21"/>
        </w:rPr>
        <w:t>14</w:t>
      </w:r>
    </w:p>
    <w:p>
      <w:pPr>
        <w:pStyle w:val="49"/>
        <w:spacing w:before="0" w:beforeAutospacing="0" w:after="0" w:afterAutospacing="0" w:line="360" w:lineRule="auto"/>
        <w:ind w:firstLine="280"/>
        <w:rPr>
          <w:rFonts w:eastAsia="宋体"/>
          <w:sz w:val="21"/>
          <w:szCs w:val="21"/>
        </w:rPr>
      </w:pPr>
      <w:r>
        <w:rPr>
          <w:rFonts w:hint="eastAsia" w:eastAsia="宋体"/>
          <w:sz w:val="21"/>
          <w:szCs w:val="21"/>
        </w:rPr>
        <w:t>5.</w:t>
      </w:r>
      <w:r>
        <w:rPr>
          <w:rFonts w:eastAsia="宋体"/>
          <w:sz w:val="21"/>
          <w:szCs w:val="21"/>
        </w:rPr>
        <w:t>3</w:t>
      </w:r>
      <w:r>
        <w:rPr>
          <w:rFonts w:hint="eastAsia" w:eastAsia="宋体"/>
          <w:sz w:val="21"/>
          <w:szCs w:val="21"/>
        </w:rPr>
        <w:t xml:space="preserve"> Urban Water Quality</w:t>
      </w:r>
      <w:r>
        <w:rPr>
          <w:rFonts w:eastAsia="宋体"/>
          <w:sz w:val="21"/>
          <w:szCs w:val="21"/>
        </w:rPr>
        <w:t>……………………………………………</w:t>
      </w:r>
      <w:r>
        <w:rPr>
          <w:rFonts w:hint="eastAsia" w:eastAsia="宋体"/>
          <w:sz w:val="21"/>
          <w:szCs w:val="21"/>
        </w:rPr>
        <w:t>..</w:t>
      </w:r>
      <w:r>
        <w:rPr>
          <w:rFonts w:eastAsia="宋体"/>
          <w:sz w:val="21"/>
          <w:szCs w:val="21"/>
        </w:rPr>
        <w:t>………………………</w:t>
      </w:r>
      <w:r>
        <w:rPr>
          <w:rFonts w:hint="eastAsia" w:eastAsia="宋体"/>
          <w:sz w:val="21"/>
          <w:szCs w:val="21"/>
        </w:rPr>
        <w:t>..</w:t>
      </w:r>
      <w:r>
        <w:rPr>
          <w:rFonts w:eastAsia="宋体"/>
          <w:sz w:val="21"/>
          <w:szCs w:val="21"/>
        </w:rPr>
        <w:t>15</w:t>
      </w:r>
    </w:p>
    <w:p>
      <w:pPr>
        <w:pStyle w:val="49"/>
        <w:spacing w:before="0" w:beforeAutospacing="0" w:after="0" w:afterAutospacing="0" w:line="360" w:lineRule="auto"/>
        <w:ind w:firstLine="280"/>
        <w:rPr>
          <w:rFonts w:eastAsia="宋体"/>
          <w:sz w:val="21"/>
          <w:szCs w:val="21"/>
        </w:rPr>
      </w:pPr>
      <w:r>
        <w:rPr>
          <w:rFonts w:hint="eastAsia" w:eastAsia="宋体"/>
          <w:sz w:val="21"/>
          <w:szCs w:val="21"/>
        </w:rPr>
        <w:t>5.</w:t>
      </w:r>
      <w:r>
        <w:rPr>
          <w:rFonts w:eastAsia="宋体"/>
          <w:sz w:val="21"/>
          <w:szCs w:val="21"/>
        </w:rPr>
        <w:t>4</w:t>
      </w:r>
      <w:r>
        <w:rPr>
          <w:rFonts w:hint="eastAsia" w:eastAsia="宋体"/>
          <w:sz w:val="21"/>
          <w:szCs w:val="21"/>
        </w:rPr>
        <w:t xml:space="preserve"> </w:t>
      </w:r>
      <w:r>
        <w:rPr>
          <w:rFonts w:eastAsia="宋体"/>
          <w:sz w:val="21"/>
          <w:szCs w:val="21"/>
        </w:rPr>
        <w:t>P</w:t>
      </w:r>
      <w:r>
        <w:rPr>
          <w:rFonts w:hint="eastAsia" w:eastAsia="宋体"/>
          <w:sz w:val="21"/>
          <w:szCs w:val="21"/>
        </w:rPr>
        <w:t>rojects</w:t>
      </w:r>
      <w:r>
        <w:rPr>
          <w:rFonts w:eastAsia="宋体"/>
          <w:sz w:val="21"/>
          <w:szCs w:val="21"/>
        </w:rPr>
        <w:t xml:space="preserve"> </w:t>
      </w:r>
      <w:r>
        <w:rPr>
          <w:rFonts w:hint="eastAsia" w:eastAsia="宋体"/>
          <w:sz w:val="21"/>
          <w:szCs w:val="21"/>
        </w:rPr>
        <w:t>i</w:t>
      </w:r>
      <w:r>
        <w:rPr>
          <w:rFonts w:eastAsia="宋体"/>
          <w:sz w:val="21"/>
          <w:szCs w:val="21"/>
        </w:rPr>
        <w:t>mplementation</w:t>
      </w:r>
      <w:r>
        <w:rPr>
          <w:rFonts w:hint="eastAsia" w:eastAsia="宋体"/>
          <w:sz w:val="21"/>
          <w:szCs w:val="21"/>
        </w:rPr>
        <w:t xml:space="preserve"> E</w:t>
      </w:r>
      <w:r>
        <w:rPr>
          <w:rFonts w:eastAsia="宋体"/>
          <w:sz w:val="21"/>
          <w:szCs w:val="21"/>
        </w:rPr>
        <w:t>ffectiveness</w:t>
      </w:r>
      <w:r>
        <w:rPr>
          <w:rFonts w:hint="eastAsia" w:eastAsia="宋体"/>
          <w:sz w:val="21"/>
          <w:szCs w:val="21"/>
        </w:rPr>
        <w:t xml:space="preserve"> </w:t>
      </w:r>
      <w:r>
        <w:rPr>
          <w:rFonts w:eastAsia="宋体"/>
          <w:sz w:val="21"/>
          <w:szCs w:val="21"/>
        </w:rPr>
        <w:t>………………</w:t>
      </w:r>
      <w:r>
        <w:rPr>
          <w:rFonts w:hint="eastAsia" w:eastAsia="宋体"/>
          <w:sz w:val="21"/>
          <w:szCs w:val="21"/>
        </w:rPr>
        <w:t>........................................................</w:t>
      </w:r>
      <w:r>
        <w:rPr>
          <w:rFonts w:eastAsia="宋体"/>
          <w:sz w:val="21"/>
          <w:szCs w:val="21"/>
        </w:rPr>
        <w:t>16</w:t>
      </w:r>
    </w:p>
    <w:p>
      <w:pPr>
        <w:pStyle w:val="49"/>
        <w:spacing w:before="0" w:beforeAutospacing="0" w:after="0" w:afterAutospacing="0" w:line="360" w:lineRule="auto"/>
        <w:ind w:firstLine="280"/>
        <w:rPr>
          <w:rFonts w:eastAsia="宋体"/>
          <w:sz w:val="21"/>
          <w:szCs w:val="21"/>
        </w:rPr>
      </w:pPr>
      <w:r>
        <w:rPr>
          <w:sz w:val="21"/>
          <w:szCs w:val="21"/>
        </w:rPr>
        <w:t>5.</w:t>
      </w:r>
      <w:r>
        <w:rPr>
          <w:rFonts w:eastAsia="宋体"/>
          <w:sz w:val="21"/>
          <w:szCs w:val="21"/>
        </w:rPr>
        <w:t>5</w:t>
      </w:r>
      <w:r>
        <w:rPr>
          <w:sz w:val="21"/>
          <w:szCs w:val="21"/>
        </w:rPr>
        <w:t xml:space="preserve"> </w:t>
      </w:r>
      <w:r>
        <w:rPr>
          <w:rFonts w:hint="eastAsia" w:eastAsia="宋体"/>
          <w:sz w:val="21"/>
          <w:szCs w:val="21"/>
        </w:rPr>
        <w:t>Natural Ecological Pattern Management and Ecological Water Front</w:t>
      </w:r>
      <w:r>
        <w:rPr>
          <w:rFonts w:eastAsia="宋体"/>
          <w:sz w:val="21"/>
          <w:szCs w:val="21"/>
        </w:rPr>
        <w:t>……………………17</w:t>
      </w:r>
    </w:p>
    <w:p>
      <w:pPr>
        <w:pStyle w:val="49"/>
        <w:spacing w:before="0" w:beforeAutospacing="0" w:after="0" w:afterAutospacing="0" w:line="360" w:lineRule="auto"/>
        <w:ind w:firstLine="280"/>
        <w:rPr>
          <w:rFonts w:eastAsia="宋体"/>
          <w:sz w:val="21"/>
          <w:szCs w:val="21"/>
        </w:rPr>
      </w:pPr>
      <w:r>
        <w:rPr>
          <w:sz w:val="21"/>
          <w:szCs w:val="21"/>
        </w:rPr>
        <w:t>5.</w:t>
      </w:r>
      <w:r>
        <w:rPr>
          <w:rFonts w:eastAsia="宋体"/>
          <w:sz w:val="21"/>
          <w:szCs w:val="21"/>
        </w:rPr>
        <w:t>6</w:t>
      </w:r>
      <w:r>
        <w:rPr>
          <w:sz w:val="21"/>
          <w:szCs w:val="21"/>
        </w:rPr>
        <w:t xml:space="preserve"> </w:t>
      </w:r>
      <w:r>
        <w:rPr>
          <w:rFonts w:hint="eastAsia" w:eastAsia="宋体"/>
          <w:sz w:val="21"/>
          <w:szCs w:val="21"/>
        </w:rPr>
        <w:t>Variation Trend of Groundwater Depth</w:t>
      </w:r>
      <w:r>
        <w:rPr>
          <w:rFonts w:eastAsia="宋体"/>
          <w:sz w:val="21"/>
          <w:szCs w:val="21"/>
        </w:rPr>
        <w:t>…………………………………………………</w:t>
      </w:r>
      <w:r>
        <w:rPr>
          <w:rFonts w:hint="eastAsia" w:eastAsia="宋体"/>
          <w:sz w:val="21"/>
          <w:szCs w:val="21"/>
        </w:rPr>
        <w:t>..</w:t>
      </w:r>
      <w:r>
        <w:rPr>
          <w:rFonts w:eastAsia="宋体"/>
          <w:sz w:val="21"/>
          <w:szCs w:val="21"/>
        </w:rPr>
        <w:t>18</w:t>
      </w:r>
    </w:p>
    <w:p>
      <w:pPr>
        <w:pStyle w:val="49"/>
        <w:spacing w:before="0" w:beforeAutospacing="0" w:after="0" w:afterAutospacing="0" w:line="360" w:lineRule="auto"/>
        <w:ind w:firstLine="280"/>
        <w:rPr>
          <w:rFonts w:eastAsia="宋体"/>
          <w:sz w:val="21"/>
          <w:szCs w:val="21"/>
        </w:rPr>
      </w:pPr>
      <w:r>
        <w:rPr>
          <w:rFonts w:hint="eastAsia" w:eastAsia="宋体"/>
          <w:sz w:val="21"/>
          <w:szCs w:val="21"/>
        </w:rPr>
        <w:t>5.</w:t>
      </w:r>
      <w:r>
        <w:rPr>
          <w:rFonts w:eastAsia="宋体"/>
          <w:sz w:val="21"/>
          <w:szCs w:val="21"/>
        </w:rPr>
        <w:t>7</w:t>
      </w:r>
      <w:r>
        <w:rPr>
          <w:rFonts w:hint="eastAsia" w:eastAsia="宋体"/>
          <w:sz w:val="21"/>
          <w:szCs w:val="21"/>
        </w:rPr>
        <w:t xml:space="preserve"> Urban Heat Island Effect</w:t>
      </w:r>
      <w:r>
        <w:rPr>
          <w:rFonts w:eastAsia="宋体"/>
          <w:sz w:val="21"/>
          <w:szCs w:val="21"/>
        </w:rPr>
        <w:t>…………………………………………………………………</w:t>
      </w:r>
      <w:r>
        <w:rPr>
          <w:rFonts w:hint="eastAsia" w:eastAsia="宋体"/>
          <w:sz w:val="21"/>
          <w:szCs w:val="21"/>
        </w:rPr>
        <w:t>.</w:t>
      </w:r>
      <w:r>
        <w:rPr>
          <w:rFonts w:eastAsia="宋体"/>
          <w:sz w:val="21"/>
          <w:szCs w:val="21"/>
        </w:rPr>
        <w:t>18</w:t>
      </w:r>
    </w:p>
    <w:p>
      <w:pPr>
        <w:pStyle w:val="49"/>
        <w:spacing w:before="0" w:beforeAutospacing="0" w:after="0" w:afterAutospacing="0" w:line="360" w:lineRule="auto"/>
        <w:rPr>
          <w:rFonts w:eastAsia="宋体"/>
          <w:sz w:val="21"/>
          <w:szCs w:val="21"/>
        </w:rPr>
      </w:pPr>
      <w:r>
        <w:rPr>
          <w:rFonts w:hint="eastAsia"/>
          <w:sz w:val="21"/>
          <w:szCs w:val="21"/>
        </w:rPr>
        <w:t>A</w:t>
      </w:r>
      <w:r>
        <w:rPr>
          <w:sz w:val="21"/>
          <w:szCs w:val="21"/>
        </w:rPr>
        <w:t xml:space="preserve">ppendix </w:t>
      </w:r>
      <w:r>
        <w:rPr>
          <w:rFonts w:eastAsia="宋体"/>
          <w:sz w:val="21"/>
          <w:szCs w:val="21"/>
        </w:rPr>
        <w:t>Relation and application of</w:t>
      </w:r>
      <w:r>
        <w:rPr>
          <w:sz w:val="21"/>
          <w:szCs w:val="21"/>
        </w:rPr>
        <w:t xml:space="preserve"> </w:t>
      </w:r>
      <w:r>
        <w:rPr>
          <w:rFonts w:eastAsia="宋体"/>
          <w:sz w:val="21"/>
          <w:szCs w:val="21"/>
        </w:rPr>
        <w:t xml:space="preserve">volume capture ratio of annual rainfall </w:t>
      </w:r>
      <w:r>
        <w:rPr>
          <w:rFonts w:hint="eastAsia" w:eastAsia="宋体"/>
          <w:sz w:val="21"/>
          <w:szCs w:val="21"/>
        </w:rPr>
        <w:t>and</w:t>
      </w:r>
      <w:r>
        <w:rPr>
          <w:rFonts w:eastAsia="宋体"/>
          <w:sz w:val="21"/>
          <w:szCs w:val="21"/>
        </w:rPr>
        <w:t xml:space="preserve"> </w:t>
      </w:r>
      <w:r>
        <w:rPr>
          <w:rFonts w:hint="eastAsia" w:eastAsia="宋体"/>
          <w:sz w:val="21"/>
          <w:szCs w:val="21"/>
        </w:rPr>
        <w:t>design</w:t>
      </w:r>
      <w:r>
        <w:rPr>
          <w:rFonts w:eastAsia="宋体"/>
          <w:sz w:val="21"/>
          <w:szCs w:val="21"/>
        </w:rPr>
        <w:t xml:space="preserve"> </w:t>
      </w:r>
      <w:r>
        <w:rPr>
          <w:rFonts w:hint="eastAsia" w:eastAsia="宋体"/>
          <w:sz w:val="21"/>
          <w:szCs w:val="21"/>
        </w:rPr>
        <w:t>rainfall</w:t>
      </w:r>
      <w:r>
        <w:rPr>
          <w:rFonts w:eastAsia="宋体"/>
          <w:sz w:val="21"/>
          <w:szCs w:val="21"/>
        </w:rPr>
        <w:t xml:space="preserve"> </w:t>
      </w:r>
      <w:r>
        <w:rPr>
          <w:rFonts w:hint="eastAsia" w:eastAsia="宋体"/>
          <w:sz w:val="21"/>
          <w:szCs w:val="21"/>
        </w:rPr>
        <w:t>depth</w:t>
      </w:r>
      <w:r>
        <w:rPr>
          <w:rFonts w:eastAsia="宋体"/>
          <w:sz w:val="21"/>
          <w:szCs w:val="21"/>
        </w:rPr>
        <w:t>.....……………………………………………………………………….………….….…...20</w:t>
      </w:r>
    </w:p>
    <w:p>
      <w:pPr>
        <w:pStyle w:val="49"/>
        <w:spacing w:before="0" w:beforeAutospacing="0" w:after="0" w:afterAutospacing="0" w:line="360" w:lineRule="auto"/>
        <w:rPr>
          <w:rFonts w:eastAsia="宋体"/>
          <w:sz w:val="21"/>
          <w:szCs w:val="21"/>
        </w:rPr>
      </w:pPr>
      <w:r>
        <w:rPr>
          <w:rFonts w:hint="eastAsia"/>
          <w:sz w:val="21"/>
          <w:szCs w:val="21"/>
        </w:rPr>
        <w:t>Explanation of Wording in This Code</w:t>
      </w:r>
      <w:r>
        <w:rPr>
          <w:sz w:val="21"/>
          <w:szCs w:val="21"/>
        </w:rPr>
        <w:t>……………………………………………………………</w:t>
      </w:r>
      <w:r>
        <w:rPr>
          <w:rFonts w:eastAsia="宋体"/>
          <w:sz w:val="21"/>
          <w:szCs w:val="21"/>
        </w:rPr>
        <w:t>25</w:t>
      </w:r>
    </w:p>
    <w:p>
      <w:pPr>
        <w:pStyle w:val="49"/>
        <w:spacing w:before="0" w:beforeAutospacing="0" w:after="0" w:afterAutospacing="0" w:line="360" w:lineRule="auto"/>
        <w:rPr>
          <w:sz w:val="21"/>
          <w:szCs w:val="21"/>
        </w:rPr>
        <w:sectPr>
          <w:pgSz w:w="11906" w:h="16838"/>
          <w:pgMar w:top="1440" w:right="1800" w:bottom="1440" w:left="1800" w:header="851" w:footer="992" w:gutter="0"/>
          <w:pgNumType w:fmt="upperRoman"/>
          <w:cols w:space="720" w:num="1"/>
          <w:docGrid w:type="lines" w:linePitch="312" w:charSpace="0"/>
        </w:sectPr>
      </w:pPr>
      <w:r>
        <w:rPr>
          <w:sz w:val="21"/>
          <w:szCs w:val="21"/>
        </w:rPr>
        <w:t xml:space="preserve">Lists of </w:t>
      </w:r>
      <w:r>
        <w:rPr>
          <w:rFonts w:hint="eastAsia"/>
          <w:sz w:val="21"/>
          <w:szCs w:val="21"/>
        </w:rPr>
        <w:t>Quot</w:t>
      </w:r>
      <w:r>
        <w:rPr>
          <w:sz w:val="21"/>
          <w:szCs w:val="21"/>
        </w:rPr>
        <w:t>ed Standards………………………………………………………………………</w:t>
      </w:r>
      <w:r>
        <w:rPr>
          <w:rFonts w:hint="eastAsia" w:eastAsia="宋体"/>
          <w:sz w:val="21"/>
          <w:szCs w:val="21"/>
        </w:rPr>
        <w:t>..</w:t>
      </w:r>
      <w:r>
        <w:rPr>
          <w:sz w:val="21"/>
          <w:szCs w:val="21"/>
        </w:rPr>
        <w:t>26</w:t>
      </w:r>
    </w:p>
    <w:p>
      <w:pPr>
        <w:jc w:val="center"/>
        <w:rPr>
          <w:b/>
          <w:sz w:val="32"/>
          <w:szCs w:val="32"/>
        </w:rPr>
      </w:pPr>
      <w:r>
        <w:rPr>
          <w:b/>
          <w:sz w:val="32"/>
          <w:szCs w:val="32"/>
        </w:rPr>
        <w:t>前言</w:t>
      </w:r>
    </w:p>
    <w:p>
      <w:pPr>
        <w:ind w:firstLine="593" w:firstLineChars="212"/>
        <w:rPr>
          <w:sz w:val="28"/>
          <w:szCs w:val="28"/>
        </w:rPr>
      </w:pPr>
      <w:r>
        <w:rPr>
          <w:rFonts w:hint="eastAsia"/>
          <w:sz w:val="28"/>
          <w:szCs w:val="28"/>
        </w:rPr>
        <w:t>根据住房和城乡建设部的要求，标准编制组经广泛调查研究，认真总结实践经验，参考有关国际标准和国外先进标准，并在广泛征求意见的基础上，编制本标准。</w:t>
      </w:r>
    </w:p>
    <w:p>
      <w:pPr>
        <w:ind w:firstLine="627" w:firstLineChars="212"/>
        <w:rPr>
          <w:sz w:val="28"/>
          <w:szCs w:val="28"/>
        </w:rPr>
      </w:pPr>
      <w:r>
        <w:rPr>
          <w:spacing w:val="8"/>
          <w:kern w:val="0"/>
          <w:sz w:val="28"/>
          <w:szCs w:val="28"/>
        </w:rPr>
        <w:t>本</w:t>
      </w:r>
      <w:r>
        <w:rPr>
          <w:rFonts w:hint="eastAsia"/>
          <w:spacing w:val="8"/>
          <w:kern w:val="0"/>
          <w:sz w:val="28"/>
          <w:szCs w:val="28"/>
        </w:rPr>
        <w:t>标准</w:t>
      </w:r>
      <w:r>
        <w:rPr>
          <w:spacing w:val="8"/>
          <w:kern w:val="0"/>
          <w:sz w:val="28"/>
          <w:szCs w:val="28"/>
        </w:rPr>
        <w:t>的主要技术内容是：</w:t>
      </w:r>
      <w:r>
        <w:rPr>
          <w:rFonts w:hint="eastAsia"/>
          <w:spacing w:val="8"/>
          <w:kern w:val="0"/>
          <w:sz w:val="28"/>
          <w:szCs w:val="28"/>
        </w:rPr>
        <w:t>总则、术语、基本规定、评价内容、评价方法及附录。</w:t>
      </w:r>
      <w:r>
        <w:rPr>
          <w:sz w:val="28"/>
          <w:szCs w:val="28"/>
        </w:rPr>
        <w:t xml:space="preserve"> </w:t>
      </w:r>
    </w:p>
    <w:p>
      <w:pPr>
        <w:ind w:firstLine="627" w:firstLineChars="212"/>
        <w:rPr>
          <w:spacing w:val="8"/>
          <w:kern w:val="0"/>
          <w:sz w:val="28"/>
          <w:szCs w:val="28"/>
        </w:rPr>
      </w:pPr>
      <w:r>
        <w:rPr>
          <w:spacing w:val="8"/>
          <w:kern w:val="0"/>
          <w:sz w:val="28"/>
          <w:szCs w:val="28"/>
        </w:rPr>
        <w:t>本</w:t>
      </w:r>
      <w:r>
        <w:rPr>
          <w:rFonts w:hint="eastAsia"/>
          <w:spacing w:val="8"/>
          <w:kern w:val="0"/>
          <w:sz w:val="28"/>
          <w:szCs w:val="28"/>
        </w:rPr>
        <w:t>标准</w:t>
      </w:r>
      <w:r>
        <w:rPr>
          <w:spacing w:val="8"/>
          <w:kern w:val="0"/>
          <w:sz w:val="28"/>
          <w:szCs w:val="28"/>
        </w:rPr>
        <w:t>由住房和城乡建设部负责管理，</w:t>
      </w:r>
      <w:r>
        <w:rPr>
          <w:rFonts w:hint="eastAsia"/>
          <w:spacing w:val="8"/>
          <w:kern w:val="0"/>
          <w:sz w:val="28"/>
          <w:szCs w:val="28"/>
        </w:rPr>
        <w:t>由中国建设科技集团股份有限公司负责具体技术内容的解释。执行过程中如有意见或建议，请寄送</w:t>
      </w:r>
      <w:bookmarkStart w:id="5" w:name="OLE_LINK32"/>
      <w:r>
        <w:rPr>
          <w:rFonts w:hint="eastAsia"/>
          <w:spacing w:val="8"/>
          <w:kern w:val="0"/>
          <w:sz w:val="28"/>
          <w:szCs w:val="28"/>
        </w:rPr>
        <w:t>中国建设科技集团股份有限公司</w:t>
      </w:r>
      <w:bookmarkEnd w:id="5"/>
      <w:r>
        <w:rPr>
          <w:rFonts w:hint="eastAsia"/>
          <w:spacing w:val="8"/>
          <w:kern w:val="0"/>
          <w:sz w:val="28"/>
          <w:szCs w:val="28"/>
        </w:rPr>
        <w:t>（地址：北京市西城区德胜门外大街36号德胜凯旋大厦A座，邮编：</w:t>
      </w:r>
      <w:bookmarkStart w:id="6" w:name="OLE_LINK11"/>
      <w:bookmarkStart w:id="7" w:name="OLE_LINK10"/>
      <w:bookmarkStart w:id="8" w:name="OLE_LINK9"/>
      <w:r>
        <w:rPr>
          <w:rFonts w:hint="eastAsia"/>
          <w:spacing w:val="8"/>
          <w:kern w:val="0"/>
          <w:sz w:val="28"/>
          <w:szCs w:val="28"/>
        </w:rPr>
        <w:t>1000</w:t>
      </w:r>
      <w:bookmarkEnd w:id="6"/>
      <w:bookmarkEnd w:id="7"/>
      <w:bookmarkEnd w:id="8"/>
      <w:r>
        <w:rPr>
          <w:rFonts w:hint="eastAsia"/>
          <w:spacing w:val="8"/>
          <w:kern w:val="0"/>
          <w:sz w:val="28"/>
          <w:szCs w:val="28"/>
        </w:rPr>
        <w:t>44）。</w:t>
      </w:r>
    </w:p>
    <w:tbl>
      <w:tblPr>
        <w:tblStyle w:val="22"/>
        <w:tblW w:w="8991" w:type="dxa"/>
        <w:tblInd w:w="0" w:type="dxa"/>
        <w:tblLayout w:type="fixed"/>
        <w:tblCellMar>
          <w:top w:w="0" w:type="dxa"/>
          <w:left w:w="108" w:type="dxa"/>
          <w:bottom w:w="0" w:type="dxa"/>
          <w:right w:w="108" w:type="dxa"/>
        </w:tblCellMar>
      </w:tblPr>
      <w:tblGrid>
        <w:gridCol w:w="2762"/>
        <w:gridCol w:w="1131"/>
        <w:gridCol w:w="20"/>
        <w:gridCol w:w="1144"/>
        <w:gridCol w:w="7"/>
        <w:gridCol w:w="1157"/>
        <w:gridCol w:w="1152"/>
        <w:gridCol w:w="12"/>
        <w:gridCol w:w="1606"/>
      </w:tblGrid>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b/>
                <w:bCs/>
                <w:kern w:val="0"/>
                <w:sz w:val="28"/>
                <w:szCs w:val="28"/>
              </w:rPr>
            </w:pPr>
            <w:r>
              <w:rPr>
                <w:rFonts w:hint="eastAsia"/>
                <w:b/>
                <w:bCs/>
                <w:kern w:val="0"/>
                <w:sz w:val="28"/>
                <w:szCs w:val="28"/>
              </w:rPr>
              <w:t>本标准</w:t>
            </w:r>
            <w:r>
              <w:rPr>
                <w:b/>
                <w:bCs/>
                <w:kern w:val="0"/>
                <w:sz w:val="28"/>
                <w:szCs w:val="28"/>
              </w:rPr>
              <w:t>主编单位：</w:t>
            </w:r>
          </w:p>
        </w:tc>
        <w:tc>
          <w:tcPr>
            <w:tcW w:w="6229" w:type="dxa"/>
            <w:gridSpan w:val="8"/>
            <w:shd w:val="clear" w:color="auto" w:fill="auto"/>
            <w:vAlign w:val="center"/>
          </w:tcPr>
          <w:p>
            <w:pPr>
              <w:widowControl/>
              <w:jc w:val="left"/>
              <w:rPr>
                <w:kern w:val="0"/>
                <w:sz w:val="28"/>
                <w:szCs w:val="28"/>
              </w:rPr>
            </w:pPr>
            <w:r>
              <w:rPr>
                <w:rFonts w:hint="eastAsia"/>
                <w:kern w:val="0"/>
                <w:sz w:val="28"/>
                <w:szCs w:val="28"/>
              </w:rPr>
              <w:t>中国建设科技集团股份有限公司</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b/>
                <w:bCs/>
                <w:kern w:val="0"/>
                <w:sz w:val="28"/>
                <w:szCs w:val="28"/>
              </w:rPr>
            </w:pPr>
          </w:p>
        </w:tc>
        <w:tc>
          <w:tcPr>
            <w:tcW w:w="6229" w:type="dxa"/>
            <w:gridSpan w:val="8"/>
            <w:shd w:val="clear" w:color="auto" w:fill="auto"/>
            <w:vAlign w:val="center"/>
          </w:tcPr>
          <w:p>
            <w:pPr>
              <w:widowControl/>
              <w:jc w:val="left"/>
              <w:rPr>
                <w:spacing w:val="8"/>
                <w:kern w:val="0"/>
                <w:sz w:val="28"/>
                <w:szCs w:val="28"/>
              </w:rPr>
            </w:pPr>
            <w:r>
              <w:rPr>
                <w:rFonts w:hint="eastAsia"/>
                <w:spacing w:val="8"/>
                <w:kern w:val="0"/>
                <w:sz w:val="28"/>
                <w:szCs w:val="28"/>
              </w:rPr>
              <w:t>中国城镇供水排水协会</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b/>
                <w:bCs/>
                <w:kern w:val="0"/>
                <w:sz w:val="28"/>
                <w:szCs w:val="28"/>
              </w:rPr>
            </w:pPr>
          </w:p>
        </w:tc>
        <w:tc>
          <w:tcPr>
            <w:tcW w:w="6229" w:type="dxa"/>
            <w:gridSpan w:val="8"/>
            <w:shd w:val="clear" w:color="auto" w:fill="auto"/>
            <w:vAlign w:val="center"/>
          </w:tcPr>
          <w:p>
            <w:pPr>
              <w:widowControl/>
              <w:jc w:val="left"/>
              <w:rPr>
                <w:spacing w:val="8"/>
                <w:kern w:val="0"/>
                <w:sz w:val="28"/>
                <w:szCs w:val="28"/>
              </w:rPr>
            </w:pPr>
            <w:r>
              <w:rPr>
                <w:rFonts w:hint="eastAsia"/>
                <w:spacing w:val="8"/>
                <w:kern w:val="0"/>
                <w:sz w:val="28"/>
                <w:szCs w:val="28"/>
              </w:rPr>
              <w:t>北京建筑大学</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b/>
                <w:bCs/>
                <w:kern w:val="0"/>
                <w:sz w:val="28"/>
                <w:szCs w:val="28"/>
              </w:rPr>
            </w:pPr>
            <w:r>
              <w:rPr>
                <w:rFonts w:hint="eastAsia"/>
                <w:b/>
                <w:bCs/>
                <w:kern w:val="0"/>
                <w:sz w:val="28"/>
                <w:szCs w:val="28"/>
              </w:rPr>
              <w:t>本标准</w:t>
            </w:r>
            <w:r>
              <w:rPr>
                <w:b/>
                <w:bCs/>
                <w:kern w:val="0"/>
                <w:sz w:val="28"/>
                <w:szCs w:val="28"/>
              </w:rPr>
              <w:t>参编单位：</w:t>
            </w: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中国城市规划设计研究院</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住房和城乡建设部城镇水务管理办公室</w:t>
            </w:r>
          </w:p>
        </w:tc>
      </w:tr>
      <w:tr>
        <w:tblPrEx>
          <w:tblLayout w:type="fixed"/>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住房和城乡建设部标准定额研究所</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深圳市城市规划设计研究院有限公司</w:t>
            </w:r>
          </w:p>
          <w:p>
            <w:pPr>
              <w:widowControl/>
              <w:jc w:val="left"/>
              <w:rPr>
                <w:spacing w:val="8"/>
                <w:kern w:val="0"/>
                <w:sz w:val="28"/>
                <w:szCs w:val="28"/>
              </w:rPr>
            </w:pPr>
          </w:p>
          <w:p>
            <w:pPr>
              <w:widowControl/>
              <w:jc w:val="left"/>
              <w:rPr>
                <w:spacing w:val="8"/>
                <w:kern w:val="0"/>
                <w:sz w:val="28"/>
                <w:szCs w:val="28"/>
              </w:rPr>
            </w:pP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北京市市政工程设计研究总院有限公司</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上海市政工程设计研究总院（集团）有限公司</w:t>
            </w:r>
          </w:p>
          <w:p>
            <w:pPr>
              <w:widowControl/>
              <w:jc w:val="left"/>
              <w:rPr>
                <w:spacing w:val="8"/>
                <w:kern w:val="0"/>
                <w:sz w:val="28"/>
                <w:szCs w:val="28"/>
              </w:rPr>
            </w:pPr>
          </w:p>
          <w:p>
            <w:pPr>
              <w:widowControl/>
              <w:jc w:val="left"/>
              <w:rPr>
                <w:spacing w:val="8"/>
                <w:kern w:val="0"/>
                <w:sz w:val="28"/>
                <w:szCs w:val="28"/>
              </w:rPr>
            </w:pP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bottom"/>
          </w:tcPr>
          <w:p>
            <w:pPr>
              <w:widowControl/>
              <w:rPr>
                <w:kern w:val="0"/>
                <w:sz w:val="28"/>
                <w:szCs w:val="28"/>
              </w:rPr>
            </w:pPr>
          </w:p>
        </w:tc>
        <w:tc>
          <w:tcPr>
            <w:tcW w:w="6229" w:type="dxa"/>
            <w:gridSpan w:val="8"/>
            <w:shd w:val="clear" w:color="auto" w:fill="auto"/>
          </w:tcPr>
          <w:p>
            <w:pPr>
              <w:widowControl/>
              <w:jc w:val="left"/>
              <w:rPr>
                <w:spacing w:val="8"/>
                <w:kern w:val="0"/>
                <w:sz w:val="28"/>
                <w:szCs w:val="28"/>
              </w:rPr>
            </w:pPr>
            <w:r>
              <w:rPr>
                <w:rFonts w:hint="eastAsia"/>
                <w:spacing w:val="8"/>
                <w:kern w:val="0"/>
                <w:sz w:val="28"/>
                <w:szCs w:val="28"/>
              </w:rPr>
              <w:t>住房和城乡建设部科技发展促进中心</w:t>
            </w:r>
          </w:p>
        </w:tc>
      </w:tr>
      <w:tr>
        <w:tblPrEx>
          <w:tblLayout w:type="fixed"/>
          <w:tblCellMar>
            <w:top w:w="0" w:type="dxa"/>
            <w:left w:w="108" w:type="dxa"/>
            <w:bottom w:w="0" w:type="dxa"/>
            <w:right w:w="108" w:type="dxa"/>
          </w:tblCellMar>
        </w:tblPrEx>
        <w:trPr>
          <w:trHeight w:val="567" w:hRule="exact"/>
        </w:trPr>
        <w:tc>
          <w:tcPr>
            <w:tcW w:w="2762" w:type="dxa"/>
            <w:shd w:val="clear" w:color="auto" w:fill="auto"/>
            <w:vAlign w:val="center"/>
          </w:tcPr>
          <w:p>
            <w:pPr>
              <w:widowControl/>
              <w:rPr>
                <w:b/>
                <w:kern w:val="0"/>
                <w:sz w:val="28"/>
                <w:szCs w:val="28"/>
              </w:rPr>
            </w:pPr>
            <w:r>
              <w:rPr>
                <w:rFonts w:hint="eastAsia"/>
                <w:b/>
                <w:kern w:val="0"/>
                <w:sz w:val="28"/>
                <w:szCs w:val="28"/>
              </w:rPr>
              <w:t>本标准</w:t>
            </w:r>
            <w:r>
              <w:rPr>
                <w:b/>
                <w:kern w:val="0"/>
                <w:sz w:val="28"/>
                <w:szCs w:val="28"/>
              </w:rPr>
              <w:t>主要起草人</w:t>
            </w:r>
            <w:r>
              <w:rPr>
                <w:rFonts w:hint="eastAsia"/>
                <w:b/>
                <w:kern w:val="0"/>
                <w:sz w:val="28"/>
                <w:szCs w:val="28"/>
              </w:rPr>
              <w:t>：员</w:t>
            </w:r>
            <w:r>
              <w:rPr>
                <w:b/>
                <w:kern w:val="0"/>
                <w:sz w:val="28"/>
                <w:szCs w:val="28"/>
              </w:rPr>
              <w:t>：</w:t>
            </w:r>
          </w:p>
        </w:tc>
        <w:tc>
          <w:tcPr>
            <w:tcW w:w="1151" w:type="dxa"/>
            <w:gridSpan w:val="2"/>
            <w:shd w:val="clear" w:color="auto" w:fill="auto"/>
            <w:vAlign w:val="center"/>
          </w:tcPr>
          <w:p>
            <w:pPr>
              <w:widowControl/>
              <w:rPr>
                <w:kern w:val="0"/>
                <w:sz w:val="28"/>
                <w:szCs w:val="28"/>
              </w:rPr>
            </w:pPr>
            <w:r>
              <w:rPr>
                <w:rFonts w:hint="eastAsia"/>
                <w:sz w:val="28"/>
                <w:szCs w:val="28"/>
              </w:rPr>
              <w:t>王文亮</w:t>
            </w:r>
          </w:p>
        </w:tc>
        <w:tc>
          <w:tcPr>
            <w:tcW w:w="1151" w:type="dxa"/>
            <w:gridSpan w:val="2"/>
            <w:shd w:val="clear" w:color="auto" w:fill="auto"/>
            <w:vAlign w:val="center"/>
          </w:tcPr>
          <w:p>
            <w:pPr>
              <w:jc w:val="left"/>
              <w:rPr>
                <w:sz w:val="28"/>
                <w:szCs w:val="28"/>
              </w:rPr>
            </w:pPr>
            <w:r>
              <w:rPr>
                <w:rFonts w:hint="eastAsia"/>
                <w:sz w:val="28"/>
                <w:szCs w:val="28"/>
              </w:rPr>
              <w:t>章林伟</w:t>
            </w:r>
          </w:p>
        </w:tc>
        <w:tc>
          <w:tcPr>
            <w:tcW w:w="1157" w:type="dxa"/>
            <w:shd w:val="clear" w:color="auto" w:fill="auto"/>
            <w:vAlign w:val="center"/>
          </w:tcPr>
          <w:p>
            <w:pPr>
              <w:jc w:val="left"/>
              <w:rPr>
                <w:sz w:val="28"/>
                <w:szCs w:val="28"/>
              </w:rPr>
            </w:pPr>
            <w:r>
              <w:rPr>
                <w:rFonts w:hint="eastAsia"/>
                <w:sz w:val="28"/>
                <w:szCs w:val="28"/>
              </w:rPr>
              <w:t>李俊奇</w:t>
            </w:r>
            <w:r>
              <w:rPr>
                <w:rFonts w:hint="eastAsia"/>
                <w:kern w:val="0"/>
                <w:sz w:val="28"/>
                <w:szCs w:val="28"/>
              </w:rPr>
              <w:t>李俊奇</w:t>
            </w:r>
          </w:p>
        </w:tc>
        <w:tc>
          <w:tcPr>
            <w:tcW w:w="1152" w:type="dxa"/>
            <w:shd w:val="clear" w:color="auto" w:fill="auto"/>
            <w:vAlign w:val="center"/>
          </w:tcPr>
          <w:p>
            <w:pPr>
              <w:rPr>
                <w:sz w:val="28"/>
                <w:szCs w:val="28"/>
              </w:rPr>
            </w:pPr>
            <w:r>
              <w:rPr>
                <w:rFonts w:hint="eastAsia"/>
                <w:sz w:val="28"/>
                <w:szCs w:val="28"/>
              </w:rPr>
              <w:t>陈  玮</w:t>
            </w:r>
          </w:p>
        </w:tc>
        <w:tc>
          <w:tcPr>
            <w:tcW w:w="1618" w:type="dxa"/>
            <w:gridSpan w:val="2"/>
            <w:shd w:val="clear" w:color="auto" w:fill="auto"/>
            <w:vAlign w:val="center"/>
          </w:tcPr>
          <w:p>
            <w:pPr>
              <w:rPr>
                <w:sz w:val="28"/>
                <w:szCs w:val="28"/>
              </w:rPr>
            </w:pPr>
            <w:r>
              <w:rPr>
                <w:rFonts w:hint="eastAsia"/>
                <w:sz w:val="28"/>
                <w:szCs w:val="28"/>
              </w:rPr>
              <w:t>徐慧纬</w:t>
            </w:r>
          </w:p>
        </w:tc>
      </w:tr>
      <w:tr>
        <w:tblPrEx>
          <w:tblLayout w:type="fixed"/>
        </w:tblPrEx>
        <w:trPr>
          <w:trHeight w:val="539" w:hRule="exact"/>
        </w:trPr>
        <w:tc>
          <w:tcPr>
            <w:tcW w:w="2762" w:type="dxa"/>
            <w:vMerge w:val="restart"/>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李成江</w:t>
            </w:r>
          </w:p>
        </w:tc>
        <w:tc>
          <w:tcPr>
            <w:tcW w:w="1164" w:type="dxa"/>
            <w:gridSpan w:val="2"/>
            <w:shd w:val="clear" w:color="auto" w:fill="auto"/>
            <w:vAlign w:val="center"/>
          </w:tcPr>
          <w:p>
            <w:pPr>
              <w:rPr>
                <w:sz w:val="28"/>
                <w:szCs w:val="28"/>
              </w:rPr>
            </w:pPr>
            <w:r>
              <w:rPr>
                <w:rFonts w:hint="eastAsia"/>
                <w:sz w:val="28"/>
                <w:szCs w:val="28"/>
              </w:rPr>
              <w:t>陈  永</w:t>
            </w:r>
          </w:p>
        </w:tc>
        <w:tc>
          <w:tcPr>
            <w:tcW w:w="1164" w:type="dxa"/>
            <w:gridSpan w:val="2"/>
            <w:shd w:val="clear" w:color="auto" w:fill="auto"/>
            <w:vAlign w:val="center"/>
          </w:tcPr>
          <w:p>
            <w:pPr>
              <w:rPr>
                <w:sz w:val="28"/>
                <w:szCs w:val="28"/>
              </w:rPr>
            </w:pPr>
            <w:r>
              <w:rPr>
                <w:rFonts w:hint="eastAsia"/>
                <w:sz w:val="28"/>
                <w:szCs w:val="28"/>
              </w:rPr>
              <w:t>舒玉芬</w:t>
            </w:r>
          </w:p>
        </w:tc>
        <w:tc>
          <w:tcPr>
            <w:tcW w:w="1164" w:type="dxa"/>
            <w:gridSpan w:val="2"/>
            <w:shd w:val="clear" w:color="auto" w:fill="auto"/>
            <w:vAlign w:val="center"/>
          </w:tcPr>
          <w:p>
            <w:pPr>
              <w:rPr>
                <w:sz w:val="28"/>
                <w:szCs w:val="28"/>
              </w:rPr>
            </w:pPr>
            <w:r>
              <w:rPr>
                <w:rFonts w:hint="eastAsia"/>
                <w:sz w:val="28"/>
                <w:szCs w:val="28"/>
              </w:rPr>
              <w:t>温  禾</w:t>
            </w:r>
          </w:p>
        </w:tc>
        <w:tc>
          <w:tcPr>
            <w:tcW w:w="1606" w:type="dxa"/>
            <w:shd w:val="clear" w:color="auto" w:fill="auto"/>
            <w:vAlign w:val="center"/>
          </w:tcPr>
          <w:p>
            <w:pPr>
              <w:rPr>
                <w:sz w:val="28"/>
                <w:szCs w:val="28"/>
              </w:rPr>
            </w:pPr>
            <w:r>
              <w:rPr>
                <w:rFonts w:hint="eastAsia"/>
                <w:sz w:val="28"/>
                <w:szCs w:val="28"/>
              </w:rPr>
              <w:t>白伟岚</w:t>
            </w:r>
          </w:p>
        </w:tc>
      </w:tr>
      <w:tr>
        <w:tblPrEx>
          <w:tblLayout w:type="fixed"/>
          <w:tblCellMar>
            <w:top w:w="0" w:type="dxa"/>
            <w:left w:w="108" w:type="dxa"/>
            <w:bottom w:w="0" w:type="dxa"/>
            <w:right w:w="108" w:type="dxa"/>
          </w:tblCellMar>
        </w:tblPrEx>
        <w:trPr>
          <w:trHeight w:val="539" w:hRule="exact"/>
        </w:trPr>
        <w:tc>
          <w:tcPr>
            <w:tcW w:w="2762" w:type="dxa"/>
            <w:vMerge w:val="continue"/>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车  伍</w:t>
            </w:r>
          </w:p>
        </w:tc>
        <w:tc>
          <w:tcPr>
            <w:tcW w:w="1164" w:type="dxa"/>
            <w:gridSpan w:val="2"/>
            <w:shd w:val="clear" w:color="auto" w:fill="auto"/>
            <w:vAlign w:val="center"/>
          </w:tcPr>
          <w:p>
            <w:pPr>
              <w:rPr>
                <w:sz w:val="28"/>
                <w:szCs w:val="28"/>
              </w:rPr>
            </w:pPr>
            <w:r>
              <w:rPr>
                <w:rFonts w:hint="eastAsia"/>
                <w:sz w:val="28"/>
                <w:szCs w:val="28"/>
              </w:rPr>
              <w:t>宫永伟</w:t>
            </w:r>
          </w:p>
        </w:tc>
        <w:tc>
          <w:tcPr>
            <w:tcW w:w="1164" w:type="dxa"/>
            <w:gridSpan w:val="2"/>
            <w:shd w:val="clear" w:color="auto" w:fill="auto"/>
            <w:vAlign w:val="center"/>
          </w:tcPr>
          <w:p>
            <w:pPr>
              <w:rPr>
                <w:sz w:val="28"/>
                <w:szCs w:val="28"/>
              </w:rPr>
            </w:pPr>
            <w:r>
              <w:rPr>
                <w:rFonts w:hint="eastAsia"/>
                <w:sz w:val="28"/>
                <w:szCs w:val="28"/>
              </w:rPr>
              <w:t>张  伟</w:t>
            </w:r>
          </w:p>
        </w:tc>
        <w:tc>
          <w:tcPr>
            <w:tcW w:w="1164" w:type="dxa"/>
            <w:gridSpan w:val="2"/>
            <w:shd w:val="clear" w:color="auto" w:fill="auto"/>
            <w:vAlign w:val="center"/>
          </w:tcPr>
          <w:p>
            <w:pPr>
              <w:rPr>
                <w:sz w:val="28"/>
                <w:szCs w:val="28"/>
              </w:rPr>
            </w:pPr>
            <w:r>
              <w:rPr>
                <w:rFonts w:hint="eastAsia"/>
                <w:sz w:val="28"/>
                <w:szCs w:val="28"/>
              </w:rPr>
              <w:t>马洪涛</w:t>
            </w:r>
          </w:p>
        </w:tc>
        <w:tc>
          <w:tcPr>
            <w:tcW w:w="1606" w:type="dxa"/>
            <w:shd w:val="clear" w:color="auto" w:fill="auto"/>
            <w:vAlign w:val="center"/>
          </w:tcPr>
          <w:p>
            <w:pPr>
              <w:rPr>
                <w:sz w:val="28"/>
                <w:szCs w:val="28"/>
              </w:rPr>
            </w:pPr>
            <w:r>
              <w:rPr>
                <w:rFonts w:hint="eastAsia"/>
                <w:sz w:val="28"/>
                <w:szCs w:val="28"/>
              </w:rPr>
              <w:t>赵  锂</w:t>
            </w:r>
          </w:p>
        </w:tc>
      </w:tr>
      <w:tr>
        <w:tblPrEx>
          <w:tblLayout w:type="fixed"/>
          <w:tblCellMar>
            <w:top w:w="0" w:type="dxa"/>
            <w:left w:w="108" w:type="dxa"/>
            <w:bottom w:w="0" w:type="dxa"/>
            <w:right w:w="108" w:type="dxa"/>
          </w:tblCellMar>
        </w:tblPrEx>
        <w:trPr>
          <w:trHeight w:val="539" w:hRule="exact"/>
        </w:trPr>
        <w:tc>
          <w:tcPr>
            <w:tcW w:w="2762" w:type="dxa"/>
            <w:vMerge w:val="continue"/>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任希岩</w:t>
            </w:r>
          </w:p>
        </w:tc>
        <w:tc>
          <w:tcPr>
            <w:tcW w:w="1164" w:type="dxa"/>
            <w:gridSpan w:val="2"/>
            <w:shd w:val="clear" w:color="auto" w:fill="auto"/>
            <w:vAlign w:val="center"/>
          </w:tcPr>
          <w:p>
            <w:pPr>
              <w:rPr>
                <w:sz w:val="28"/>
                <w:szCs w:val="28"/>
              </w:rPr>
            </w:pPr>
            <w:r>
              <w:rPr>
                <w:rFonts w:hint="eastAsia"/>
                <w:sz w:val="28"/>
                <w:szCs w:val="28"/>
              </w:rPr>
              <w:t>王家卓</w:t>
            </w:r>
          </w:p>
        </w:tc>
        <w:tc>
          <w:tcPr>
            <w:tcW w:w="1164" w:type="dxa"/>
            <w:gridSpan w:val="2"/>
            <w:shd w:val="clear" w:color="auto" w:fill="auto"/>
            <w:vAlign w:val="center"/>
          </w:tcPr>
          <w:p>
            <w:pPr>
              <w:rPr>
                <w:sz w:val="28"/>
                <w:szCs w:val="28"/>
              </w:rPr>
            </w:pPr>
            <w:r>
              <w:rPr>
                <w:rFonts w:hint="eastAsia"/>
                <w:sz w:val="28"/>
                <w:szCs w:val="28"/>
              </w:rPr>
              <w:t>任心欣</w:t>
            </w:r>
          </w:p>
        </w:tc>
        <w:tc>
          <w:tcPr>
            <w:tcW w:w="1164" w:type="dxa"/>
            <w:gridSpan w:val="2"/>
            <w:shd w:val="clear" w:color="auto" w:fill="auto"/>
            <w:vAlign w:val="center"/>
          </w:tcPr>
          <w:p>
            <w:pPr>
              <w:rPr>
                <w:sz w:val="28"/>
                <w:szCs w:val="28"/>
              </w:rPr>
            </w:pPr>
            <w:r>
              <w:rPr>
                <w:rFonts w:hint="eastAsia"/>
                <w:sz w:val="28"/>
                <w:szCs w:val="28"/>
              </w:rPr>
              <w:t>俞  露</w:t>
            </w:r>
          </w:p>
        </w:tc>
        <w:tc>
          <w:tcPr>
            <w:tcW w:w="1606" w:type="dxa"/>
            <w:shd w:val="clear" w:color="auto" w:fill="auto"/>
            <w:vAlign w:val="center"/>
          </w:tcPr>
          <w:p>
            <w:pPr>
              <w:rPr>
                <w:sz w:val="28"/>
                <w:szCs w:val="28"/>
              </w:rPr>
            </w:pPr>
            <w:r>
              <w:rPr>
                <w:rFonts w:hint="eastAsia"/>
                <w:sz w:val="28"/>
                <w:szCs w:val="28"/>
              </w:rPr>
              <w:t>高  伟</w:t>
            </w:r>
          </w:p>
        </w:tc>
      </w:tr>
      <w:tr>
        <w:tblPrEx>
          <w:tblLayout w:type="fixed"/>
          <w:tblCellMar>
            <w:top w:w="0" w:type="dxa"/>
            <w:left w:w="108" w:type="dxa"/>
            <w:bottom w:w="0" w:type="dxa"/>
            <w:right w:w="108" w:type="dxa"/>
          </w:tblCellMar>
        </w:tblPrEx>
        <w:trPr>
          <w:trHeight w:val="539" w:hRule="exact"/>
        </w:trPr>
        <w:tc>
          <w:tcPr>
            <w:tcW w:w="2762" w:type="dxa"/>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胡应均</w:t>
            </w:r>
          </w:p>
        </w:tc>
        <w:tc>
          <w:tcPr>
            <w:tcW w:w="1164" w:type="dxa"/>
            <w:gridSpan w:val="2"/>
            <w:shd w:val="clear" w:color="auto" w:fill="auto"/>
            <w:vAlign w:val="center"/>
          </w:tcPr>
          <w:p>
            <w:pPr>
              <w:rPr>
                <w:sz w:val="28"/>
                <w:szCs w:val="28"/>
              </w:rPr>
            </w:pPr>
            <w:r>
              <w:rPr>
                <w:rFonts w:hint="eastAsia"/>
                <w:sz w:val="28"/>
                <w:szCs w:val="28"/>
              </w:rPr>
              <w:t>赵  晔</w:t>
            </w:r>
          </w:p>
        </w:tc>
        <w:tc>
          <w:tcPr>
            <w:tcW w:w="1164" w:type="dxa"/>
            <w:gridSpan w:val="2"/>
            <w:shd w:val="clear" w:color="auto" w:fill="auto"/>
            <w:vAlign w:val="center"/>
          </w:tcPr>
          <w:p>
            <w:pPr>
              <w:rPr>
                <w:sz w:val="28"/>
                <w:szCs w:val="28"/>
              </w:rPr>
            </w:pPr>
            <w:r>
              <w:rPr>
                <w:rFonts w:hint="eastAsia"/>
                <w:sz w:val="28"/>
                <w:szCs w:val="28"/>
              </w:rPr>
              <w:t>沈云峰</w:t>
            </w:r>
          </w:p>
        </w:tc>
        <w:tc>
          <w:tcPr>
            <w:tcW w:w="1164" w:type="dxa"/>
            <w:gridSpan w:val="2"/>
            <w:shd w:val="clear" w:color="auto" w:fill="auto"/>
            <w:vAlign w:val="center"/>
          </w:tcPr>
          <w:p>
            <w:pPr>
              <w:rPr>
                <w:sz w:val="28"/>
                <w:szCs w:val="28"/>
              </w:rPr>
            </w:pPr>
            <w:r>
              <w:rPr>
                <w:rFonts w:hint="eastAsia"/>
                <w:sz w:val="28"/>
                <w:szCs w:val="28"/>
              </w:rPr>
              <w:t>杨  正</w:t>
            </w:r>
          </w:p>
        </w:tc>
        <w:tc>
          <w:tcPr>
            <w:tcW w:w="1606" w:type="dxa"/>
            <w:shd w:val="clear" w:color="auto" w:fill="auto"/>
            <w:vAlign w:val="center"/>
          </w:tcPr>
          <w:p>
            <w:pPr>
              <w:rPr>
                <w:sz w:val="28"/>
                <w:szCs w:val="28"/>
              </w:rPr>
            </w:pPr>
            <w:r>
              <w:rPr>
                <w:rFonts w:hint="eastAsia"/>
                <w:sz w:val="28"/>
                <w:szCs w:val="28"/>
              </w:rPr>
              <w:t>王建龙</w:t>
            </w:r>
          </w:p>
        </w:tc>
      </w:tr>
      <w:tr>
        <w:tblPrEx>
          <w:tblLayout w:type="fixed"/>
          <w:tblCellMar>
            <w:top w:w="0" w:type="dxa"/>
            <w:left w:w="108" w:type="dxa"/>
            <w:bottom w:w="0" w:type="dxa"/>
            <w:right w:w="108" w:type="dxa"/>
          </w:tblCellMar>
        </w:tblPrEx>
        <w:trPr>
          <w:trHeight w:val="539" w:hRule="exact"/>
        </w:trPr>
        <w:tc>
          <w:tcPr>
            <w:tcW w:w="2762" w:type="dxa"/>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赵  杨</w:t>
            </w:r>
          </w:p>
        </w:tc>
        <w:tc>
          <w:tcPr>
            <w:tcW w:w="1164" w:type="dxa"/>
            <w:gridSpan w:val="2"/>
            <w:shd w:val="clear" w:color="auto" w:fill="auto"/>
            <w:vAlign w:val="center"/>
          </w:tcPr>
          <w:p>
            <w:pPr>
              <w:rPr>
                <w:sz w:val="28"/>
                <w:szCs w:val="28"/>
              </w:rPr>
            </w:pPr>
            <w:r>
              <w:rPr>
                <w:rFonts w:hint="eastAsia"/>
                <w:sz w:val="28"/>
                <w:szCs w:val="28"/>
              </w:rPr>
              <w:t>毛  坤</w:t>
            </w:r>
          </w:p>
        </w:tc>
        <w:tc>
          <w:tcPr>
            <w:tcW w:w="1164" w:type="dxa"/>
            <w:gridSpan w:val="2"/>
            <w:shd w:val="clear" w:color="auto" w:fill="auto"/>
            <w:vAlign w:val="center"/>
          </w:tcPr>
          <w:p>
            <w:pPr>
              <w:rPr>
                <w:sz w:val="28"/>
                <w:szCs w:val="28"/>
              </w:rPr>
            </w:pPr>
            <w:r>
              <w:rPr>
                <w:rFonts w:hint="eastAsia"/>
                <w:sz w:val="28"/>
                <w:szCs w:val="28"/>
              </w:rPr>
              <w:t>王国玉</w:t>
            </w:r>
          </w:p>
        </w:tc>
        <w:tc>
          <w:tcPr>
            <w:tcW w:w="1164" w:type="dxa"/>
            <w:gridSpan w:val="2"/>
            <w:shd w:val="clear" w:color="auto" w:fill="auto"/>
            <w:vAlign w:val="center"/>
          </w:tcPr>
          <w:p>
            <w:pPr>
              <w:rPr>
                <w:sz w:val="28"/>
                <w:szCs w:val="28"/>
              </w:rPr>
            </w:pPr>
            <w:r>
              <w:rPr>
                <w:rFonts w:hint="eastAsia"/>
                <w:sz w:val="28"/>
                <w:szCs w:val="28"/>
              </w:rPr>
              <w:t>盛  况</w:t>
            </w:r>
          </w:p>
        </w:tc>
        <w:tc>
          <w:tcPr>
            <w:tcW w:w="1606" w:type="dxa"/>
            <w:shd w:val="clear" w:color="auto" w:fill="auto"/>
            <w:vAlign w:val="center"/>
          </w:tcPr>
          <w:p>
            <w:pPr>
              <w:rPr>
                <w:sz w:val="28"/>
                <w:szCs w:val="28"/>
              </w:rPr>
            </w:pPr>
            <w:r>
              <w:rPr>
                <w:rFonts w:hint="eastAsia"/>
                <w:sz w:val="28"/>
                <w:szCs w:val="28"/>
              </w:rPr>
              <w:t>邹伟国</w:t>
            </w:r>
          </w:p>
        </w:tc>
      </w:tr>
      <w:tr>
        <w:tblPrEx>
          <w:tblLayout w:type="fixed"/>
          <w:tblCellMar>
            <w:top w:w="0" w:type="dxa"/>
            <w:left w:w="108" w:type="dxa"/>
            <w:bottom w:w="0" w:type="dxa"/>
            <w:right w:w="108" w:type="dxa"/>
          </w:tblCellMar>
        </w:tblPrEx>
        <w:trPr>
          <w:trHeight w:val="539" w:hRule="exact"/>
        </w:trPr>
        <w:tc>
          <w:tcPr>
            <w:tcW w:w="2762" w:type="dxa"/>
            <w:shd w:val="clear" w:color="auto" w:fill="auto"/>
            <w:vAlign w:val="center"/>
          </w:tcPr>
          <w:p>
            <w:pPr>
              <w:widowControl/>
              <w:rPr>
                <w:kern w:val="0"/>
                <w:sz w:val="28"/>
                <w:szCs w:val="28"/>
              </w:rPr>
            </w:pPr>
          </w:p>
        </w:tc>
        <w:tc>
          <w:tcPr>
            <w:tcW w:w="1131" w:type="dxa"/>
            <w:shd w:val="clear" w:color="auto" w:fill="auto"/>
            <w:vAlign w:val="center"/>
          </w:tcPr>
          <w:p>
            <w:pPr>
              <w:rPr>
                <w:sz w:val="28"/>
                <w:szCs w:val="28"/>
              </w:rPr>
            </w:pPr>
            <w:r>
              <w:rPr>
                <w:rFonts w:hint="eastAsia"/>
                <w:sz w:val="28"/>
                <w:szCs w:val="28"/>
              </w:rPr>
              <w:t>吕永鹏</w:t>
            </w:r>
          </w:p>
        </w:tc>
        <w:tc>
          <w:tcPr>
            <w:tcW w:w="1164" w:type="dxa"/>
            <w:gridSpan w:val="2"/>
            <w:shd w:val="clear" w:color="auto" w:fill="auto"/>
            <w:vAlign w:val="center"/>
          </w:tcPr>
          <w:p>
            <w:pPr>
              <w:rPr>
                <w:sz w:val="28"/>
                <w:szCs w:val="28"/>
              </w:rPr>
            </w:pPr>
            <w:r>
              <w:rPr>
                <w:rFonts w:hint="eastAsia"/>
                <w:sz w:val="28"/>
                <w:szCs w:val="28"/>
              </w:rPr>
              <w:t>孔祥娟</w:t>
            </w:r>
          </w:p>
        </w:tc>
        <w:tc>
          <w:tcPr>
            <w:tcW w:w="1164" w:type="dxa"/>
            <w:gridSpan w:val="2"/>
            <w:shd w:val="clear" w:color="auto" w:fill="auto"/>
            <w:vAlign w:val="center"/>
          </w:tcPr>
          <w:p>
            <w:pPr>
              <w:rPr>
                <w:sz w:val="28"/>
                <w:szCs w:val="28"/>
              </w:rPr>
            </w:pPr>
          </w:p>
        </w:tc>
        <w:tc>
          <w:tcPr>
            <w:tcW w:w="1164" w:type="dxa"/>
            <w:gridSpan w:val="2"/>
            <w:shd w:val="clear" w:color="auto" w:fill="auto"/>
            <w:vAlign w:val="center"/>
          </w:tcPr>
          <w:p>
            <w:pPr>
              <w:rPr>
                <w:sz w:val="28"/>
                <w:szCs w:val="28"/>
              </w:rPr>
            </w:pPr>
          </w:p>
        </w:tc>
        <w:tc>
          <w:tcPr>
            <w:tcW w:w="1606" w:type="dxa"/>
            <w:shd w:val="clear" w:color="auto" w:fill="auto"/>
            <w:vAlign w:val="center"/>
          </w:tcPr>
          <w:p>
            <w:pPr>
              <w:rPr>
                <w:sz w:val="28"/>
                <w:szCs w:val="28"/>
              </w:rPr>
            </w:pPr>
          </w:p>
        </w:tc>
      </w:tr>
      <w:tr>
        <w:tblPrEx>
          <w:tblLayout w:type="fixed"/>
          <w:tblCellMar>
            <w:top w:w="0" w:type="dxa"/>
            <w:left w:w="108" w:type="dxa"/>
            <w:bottom w:w="0" w:type="dxa"/>
            <w:right w:w="108" w:type="dxa"/>
          </w:tblCellMar>
        </w:tblPrEx>
        <w:trPr>
          <w:trHeight w:val="539" w:hRule="exact"/>
        </w:trPr>
        <w:tc>
          <w:tcPr>
            <w:tcW w:w="2762" w:type="dxa"/>
            <w:shd w:val="clear" w:color="auto" w:fill="auto"/>
            <w:vAlign w:val="center"/>
          </w:tcPr>
          <w:p>
            <w:pPr>
              <w:widowControl/>
              <w:spacing w:line="520" w:lineRule="exact"/>
              <w:rPr>
                <w:b/>
                <w:bCs/>
                <w:kern w:val="0"/>
                <w:sz w:val="28"/>
                <w:szCs w:val="28"/>
              </w:rPr>
            </w:pPr>
            <w:r>
              <w:rPr>
                <w:rFonts w:hint="eastAsia"/>
                <w:b/>
                <w:bCs/>
                <w:kern w:val="0"/>
                <w:sz w:val="28"/>
                <w:szCs w:val="28"/>
              </w:rPr>
              <w:t>本标准</w:t>
            </w:r>
            <w:r>
              <w:rPr>
                <w:b/>
                <w:bCs/>
                <w:kern w:val="0"/>
                <w:sz w:val="28"/>
                <w:szCs w:val="28"/>
              </w:rPr>
              <w:t>主要审查人</w:t>
            </w:r>
            <w:r>
              <w:rPr>
                <w:rFonts w:hint="eastAsia"/>
                <w:b/>
                <w:bCs/>
                <w:kern w:val="0"/>
                <w:sz w:val="28"/>
                <w:szCs w:val="28"/>
              </w:rPr>
              <w:t>：员</w:t>
            </w:r>
            <w:r>
              <w:rPr>
                <w:b/>
                <w:bCs/>
                <w:kern w:val="0"/>
                <w:sz w:val="28"/>
                <w:szCs w:val="28"/>
              </w:rPr>
              <w:t>：</w:t>
            </w:r>
          </w:p>
        </w:tc>
        <w:tc>
          <w:tcPr>
            <w:tcW w:w="1131" w:type="dxa"/>
            <w:shd w:val="clear" w:color="auto" w:fill="auto"/>
          </w:tcPr>
          <w:p>
            <w:pPr>
              <w:rPr>
                <w:sz w:val="28"/>
              </w:rPr>
            </w:pPr>
          </w:p>
        </w:tc>
        <w:tc>
          <w:tcPr>
            <w:tcW w:w="1164" w:type="dxa"/>
            <w:gridSpan w:val="2"/>
            <w:shd w:val="clear" w:color="auto" w:fill="auto"/>
          </w:tcPr>
          <w:p>
            <w:pPr>
              <w:rPr>
                <w:sz w:val="28"/>
              </w:rPr>
            </w:pPr>
          </w:p>
        </w:tc>
        <w:tc>
          <w:tcPr>
            <w:tcW w:w="1164" w:type="dxa"/>
            <w:gridSpan w:val="2"/>
            <w:shd w:val="clear" w:color="auto" w:fill="auto"/>
            <w:vAlign w:val="center"/>
          </w:tcPr>
          <w:p>
            <w:pPr>
              <w:rPr>
                <w:kern w:val="0"/>
                <w:sz w:val="28"/>
                <w:szCs w:val="28"/>
              </w:rPr>
            </w:pPr>
          </w:p>
        </w:tc>
        <w:tc>
          <w:tcPr>
            <w:tcW w:w="1164" w:type="dxa"/>
            <w:gridSpan w:val="2"/>
            <w:shd w:val="clear" w:color="auto" w:fill="auto"/>
            <w:vAlign w:val="center"/>
          </w:tcPr>
          <w:p>
            <w:pPr>
              <w:rPr>
                <w:kern w:val="0"/>
                <w:sz w:val="28"/>
                <w:szCs w:val="28"/>
              </w:rPr>
            </w:pPr>
          </w:p>
        </w:tc>
        <w:tc>
          <w:tcPr>
            <w:tcW w:w="1606" w:type="dxa"/>
            <w:shd w:val="clear" w:color="auto" w:fill="auto"/>
            <w:vAlign w:val="center"/>
          </w:tcPr>
          <w:p>
            <w:pPr>
              <w:rPr>
                <w:kern w:val="0"/>
                <w:sz w:val="28"/>
                <w:szCs w:val="28"/>
              </w:rPr>
            </w:pPr>
          </w:p>
        </w:tc>
      </w:tr>
    </w:tbl>
    <w:p>
      <w:pPr>
        <w:pStyle w:val="49"/>
        <w:spacing w:before="0" w:beforeAutospacing="0" w:after="0" w:afterAutospacing="0" w:line="360" w:lineRule="auto"/>
        <w:rPr>
          <w:rFonts w:eastAsia="宋体"/>
          <w:sz w:val="21"/>
          <w:szCs w:val="21"/>
        </w:rPr>
      </w:pPr>
    </w:p>
    <w:p>
      <w:pPr>
        <w:spacing w:line="360" w:lineRule="auto"/>
        <w:rPr>
          <w:sz w:val="24"/>
        </w:rPr>
        <w:sectPr>
          <w:pgSz w:w="11906" w:h="16838"/>
          <w:pgMar w:top="1440" w:right="1800" w:bottom="1440" w:left="1800" w:header="851" w:footer="992" w:gutter="0"/>
          <w:pgNumType w:fmt="upperRoman"/>
          <w:cols w:space="720" w:num="1"/>
          <w:docGrid w:type="lines" w:linePitch="312" w:charSpace="0"/>
        </w:sectPr>
      </w:pPr>
      <w:r>
        <w:rPr>
          <w:rFonts w:hint="eastAsia"/>
          <w:szCs w:val="21"/>
        </w:rPr>
        <w:t>.</w:t>
      </w:r>
    </w:p>
    <w:p>
      <w:pPr>
        <w:pStyle w:val="2"/>
      </w:pPr>
      <w:bookmarkStart w:id="9" w:name="_Toc517339202"/>
      <w:r>
        <w:t>1 总则</w:t>
      </w:r>
      <w:bookmarkEnd w:id="9"/>
    </w:p>
    <w:p>
      <w:pPr>
        <w:snapToGrid w:val="0"/>
        <w:spacing w:after="0" w:line="360" w:lineRule="auto"/>
        <w:contextualSpacing/>
        <w:rPr>
          <w:sz w:val="28"/>
          <w:szCs w:val="28"/>
        </w:rPr>
      </w:pPr>
      <w:r>
        <w:rPr>
          <w:b/>
          <w:sz w:val="28"/>
          <w:szCs w:val="28"/>
        </w:rPr>
        <w:t>1.0.1</w:t>
      </w:r>
      <w:r>
        <w:rPr>
          <w:rFonts w:hint="eastAsia"/>
          <w:sz w:val="28"/>
          <w:szCs w:val="28"/>
        </w:rPr>
        <w:t>推进</w:t>
      </w:r>
      <w:r>
        <w:rPr>
          <w:rFonts w:hint="eastAsia"/>
          <w:bCs/>
          <w:sz w:val="28"/>
          <w:szCs w:val="28"/>
        </w:rPr>
        <w:t>海绵城市建设，有利于</w:t>
      </w:r>
      <w:r>
        <w:rPr>
          <w:rFonts w:hint="eastAsia"/>
          <w:sz w:val="28"/>
          <w:szCs w:val="28"/>
        </w:rPr>
        <w:t>改善城市生态环境质量、提升城市防灾减灾能力、扩大优质生态产品供给、增强群众获得感和幸福感。为规范海绵城市建设效果的评价，制定本标准。</w:t>
      </w:r>
    </w:p>
    <w:p>
      <w:pPr>
        <w:snapToGrid w:val="0"/>
        <w:spacing w:after="0" w:line="360" w:lineRule="auto"/>
        <w:contextualSpacing/>
        <w:rPr>
          <w:sz w:val="24"/>
          <w:szCs w:val="28"/>
        </w:rPr>
      </w:pPr>
      <w:r>
        <w:rPr>
          <w:rFonts w:hint="eastAsia"/>
          <w:sz w:val="24"/>
          <w:szCs w:val="28"/>
        </w:rPr>
        <w:t>【条文说明】制定本标准的意义和目的。</w:t>
      </w:r>
    </w:p>
    <w:p>
      <w:pPr>
        <w:snapToGrid w:val="0"/>
        <w:spacing w:after="0" w:line="360" w:lineRule="auto"/>
        <w:contextualSpacing/>
        <w:rPr>
          <w:sz w:val="28"/>
          <w:szCs w:val="28"/>
        </w:rPr>
      </w:pPr>
      <w:r>
        <w:rPr>
          <w:b/>
          <w:sz w:val="28"/>
          <w:szCs w:val="28"/>
        </w:rPr>
        <w:t>1.0.2</w:t>
      </w:r>
      <w:r>
        <w:rPr>
          <w:rFonts w:hint="eastAsia"/>
          <w:sz w:val="28"/>
          <w:szCs w:val="28"/>
        </w:rPr>
        <w:t>本标准适用于海绵城市建设效果评价，评价对象为城市。</w:t>
      </w:r>
    </w:p>
    <w:p>
      <w:pPr>
        <w:snapToGrid w:val="0"/>
        <w:spacing w:after="0" w:line="360" w:lineRule="auto"/>
        <w:contextualSpacing/>
        <w:rPr>
          <w:sz w:val="24"/>
          <w:szCs w:val="28"/>
        </w:rPr>
      </w:pPr>
      <w:r>
        <w:rPr>
          <w:rFonts w:hint="eastAsia"/>
          <w:sz w:val="24"/>
          <w:szCs w:val="28"/>
        </w:rPr>
        <w:t>【条文说明】规定了本标准的适用范围和评价对象。</w:t>
      </w:r>
    </w:p>
    <w:p>
      <w:pPr>
        <w:snapToGrid w:val="0"/>
        <w:spacing w:after="0" w:line="360" w:lineRule="auto"/>
        <w:contextualSpacing/>
        <w:rPr>
          <w:sz w:val="28"/>
          <w:szCs w:val="28"/>
        </w:rPr>
      </w:pPr>
      <w:r>
        <w:rPr>
          <w:b/>
          <w:sz w:val="28"/>
          <w:szCs w:val="28"/>
        </w:rPr>
        <w:t>1.0.3</w:t>
      </w:r>
      <w:r>
        <w:rPr>
          <w:rFonts w:hint="eastAsia"/>
          <w:sz w:val="28"/>
          <w:szCs w:val="28"/>
        </w:rPr>
        <w:t>海绵城市建设应保护山水林田湖草等自然生态格局，维系生态本底的渗透、滞蓄、蒸发（腾）、径流等水文特征的原真性，保护和恢复降雨径流的自然积存、自然渗透、自然净化。</w:t>
      </w:r>
    </w:p>
    <w:p>
      <w:pPr>
        <w:snapToGrid w:val="0"/>
        <w:spacing w:after="0" w:line="360" w:lineRule="auto"/>
        <w:contextualSpacing/>
        <w:rPr>
          <w:sz w:val="24"/>
          <w:szCs w:val="28"/>
        </w:rPr>
      </w:pPr>
      <w:r>
        <w:rPr>
          <w:rFonts w:hint="eastAsia"/>
          <w:sz w:val="24"/>
          <w:szCs w:val="28"/>
        </w:rPr>
        <w:t>【条文说明】规定了海绵城市建设的宗旨。</w:t>
      </w:r>
    </w:p>
    <w:p>
      <w:pPr>
        <w:snapToGrid w:val="0"/>
        <w:spacing w:after="0" w:line="360" w:lineRule="auto"/>
        <w:contextualSpacing/>
        <w:rPr>
          <w:sz w:val="24"/>
          <w:szCs w:val="28"/>
        </w:rPr>
      </w:pPr>
      <w:r>
        <w:rPr>
          <w:sz w:val="24"/>
          <w:szCs w:val="28"/>
        </w:rPr>
        <w:t xml:space="preserve">    </w:t>
      </w:r>
      <w:r>
        <w:rPr>
          <w:rFonts w:hint="eastAsia"/>
          <w:sz w:val="24"/>
          <w:szCs w:val="28"/>
        </w:rPr>
        <w:t>传统城市开发建设模式，由于下垫面的过度硬化，破坏了水的循环路径，使水文特征发生变化，对城市水生态、水环境、水资源等造成巨大影响，放大了灾害风险。通过海绵城市建设，在维系山水林田湖草生态格局的基础上，强化雨水径流管控，最大限度维持城市开发前后水文特征不变，修复水生态、保护水环境、涵养水资源、提高城市防灾减灾能力。</w:t>
      </w:r>
    </w:p>
    <w:p>
      <w:pPr>
        <w:snapToGrid w:val="0"/>
        <w:spacing w:after="0" w:line="360" w:lineRule="auto"/>
        <w:contextualSpacing/>
        <w:rPr>
          <w:sz w:val="28"/>
          <w:szCs w:val="28"/>
        </w:rPr>
      </w:pPr>
      <w:r>
        <w:rPr>
          <w:b/>
          <w:sz w:val="28"/>
          <w:szCs w:val="28"/>
        </w:rPr>
        <w:t>1.0.4</w:t>
      </w:r>
      <w:r>
        <w:rPr>
          <w:rFonts w:hint="eastAsia"/>
          <w:sz w:val="28"/>
          <w:szCs w:val="28"/>
        </w:rPr>
        <w:t>海绵城市建设应按照“源头减排、过程控制、系统治理”理念系统谋划，因地制宜、灰绿结合，采用“渗、滞、蓄、净、用、排”等方法综合施策。</w:t>
      </w:r>
    </w:p>
    <w:p>
      <w:pPr>
        <w:snapToGrid w:val="0"/>
        <w:spacing w:after="0" w:line="360" w:lineRule="auto"/>
        <w:contextualSpacing/>
        <w:rPr>
          <w:sz w:val="24"/>
          <w:szCs w:val="28"/>
        </w:rPr>
      </w:pPr>
      <w:r>
        <w:rPr>
          <w:rFonts w:hint="eastAsia"/>
          <w:sz w:val="24"/>
          <w:szCs w:val="28"/>
        </w:rPr>
        <w:t>【条文说明】规定了海绵城市建设的技术路线与方法。</w:t>
      </w:r>
    </w:p>
    <w:p>
      <w:pPr>
        <w:snapToGrid w:val="0"/>
        <w:spacing w:after="0" w:line="360" w:lineRule="auto"/>
        <w:contextualSpacing/>
        <w:rPr>
          <w:sz w:val="24"/>
          <w:szCs w:val="28"/>
        </w:rPr>
      </w:pPr>
      <w:r>
        <w:rPr>
          <w:sz w:val="24"/>
          <w:szCs w:val="28"/>
        </w:rPr>
        <w:t xml:space="preserve">    </w:t>
      </w:r>
      <w:r>
        <w:rPr>
          <w:rFonts w:hint="eastAsia"/>
          <w:sz w:val="24"/>
          <w:szCs w:val="28"/>
        </w:rPr>
        <w:t>传统做法过度依靠管网进行排水，切断了雨水的径流过程，使城市下垫面对雨水径流的滞蓄、渗透和净化的功能丧失，自然的海绵体功能消失。海绵城市建设改变了传统的技术路线和方法，充分发挥自然下垫面海绵体功能，既能缓解生态、环境、资源的压力，又能通过灰绿结合，降低工程造价和运维成本。</w:t>
      </w:r>
    </w:p>
    <w:p>
      <w:pPr>
        <w:snapToGrid w:val="0"/>
        <w:spacing w:after="0" w:line="360" w:lineRule="auto"/>
        <w:contextualSpacing/>
        <w:rPr>
          <w:sz w:val="24"/>
          <w:szCs w:val="28"/>
        </w:rPr>
      </w:pPr>
      <w:r>
        <w:rPr>
          <w:sz w:val="24"/>
          <w:szCs w:val="28"/>
        </w:rPr>
        <w:t xml:space="preserve">    </w:t>
      </w:r>
      <w:r>
        <w:rPr>
          <w:rFonts w:hint="eastAsia"/>
          <w:sz w:val="24"/>
          <w:szCs w:val="28"/>
        </w:rPr>
        <w:t>技术路线由传统的“末端治理”转为“源头减排、过程控制、系统治理”；管控方法由传统的“快排”转为“渗、滞、蓄、净、用、排”，通过控制雨水的径流冲击负荷和污染负荷等，实现海绵城市建设的综合目标。</w:t>
      </w:r>
    </w:p>
    <w:p>
      <w:pPr>
        <w:ind w:firstLine="420" w:firstLineChars="200"/>
        <w:sectPr>
          <w:pgSz w:w="11906" w:h="16838"/>
          <w:pgMar w:top="1440" w:right="1800" w:bottom="1440" w:left="1800" w:header="851" w:footer="992" w:gutter="0"/>
          <w:pgNumType w:start="1"/>
          <w:cols w:space="720" w:num="1"/>
          <w:docGrid w:type="lines" w:linePitch="312" w:charSpace="0"/>
        </w:sectPr>
      </w:pPr>
      <w:bookmarkStart w:id="10" w:name="_Toc74992694"/>
      <w:bookmarkStart w:id="11" w:name="_Toc102292523"/>
    </w:p>
    <w:p>
      <w:pPr>
        <w:pStyle w:val="2"/>
      </w:pPr>
      <w:bookmarkStart w:id="12" w:name="_Toc517339203"/>
      <w:r>
        <w:t xml:space="preserve">2 </w:t>
      </w:r>
      <w:r>
        <w:rPr>
          <w:rFonts w:hint="eastAsia"/>
        </w:rPr>
        <w:t>术语</w:t>
      </w:r>
      <w:bookmarkEnd w:id="12"/>
    </w:p>
    <w:bookmarkEnd w:id="10"/>
    <w:bookmarkEnd w:id="11"/>
    <w:p>
      <w:pPr>
        <w:snapToGrid w:val="0"/>
        <w:spacing w:after="0" w:line="360" w:lineRule="auto"/>
        <w:contextualSpacing/>
        <w:rPr>
          <w:sz w:val="28"/>
          <w:szCs w:val="28"/>
        </w:rPr>
      </w:pPr>
      <w:r>
        <w:rPr>
          <w:b/>
          <w:sz w:val="28"/>
          <w:szCs w:val="28"/>
        </w:rPr>
        <w:t>2.0.1</w:t>
      </w:r>
      <w:r>
        <w:rPr>
          <w:rFonts w:hint="eastAsia"/>
          <w:sz w:val="28"/>
          <w:szCs w:val="28"/>
        </w:rPr>
        <w:t>雨水年径流总量控制率</w:t>
      </w:r>
      <w:r>
        <w:rPr>
          <w:rFonts w:ascii="黑体" w:hAnsi="黑体" w:eastAsia="黑体"/>
          <w:b/>
          <w:szCs w:val="21"/>
        </w:rPr>
        <w:t xml:space="preserve"> </w:t>
      </w:r>
      <w:r>
        <w:rPr>
          <w:sz w:val="28"/>
          <w:szCs w:val="28"/>
        </w:rPr>
        <w:t>volume capture ratio of annual rainfall</w:t>
      </w:r>
    </w:p>
    <w:p>
      <w:pPr>
        <w:snapToGrid w:val="0"/>
        <w:spacing w:after="0" w:line="360" w:lineRule="auto"/>
        <w:ind w:firstLine="560" w:firstLineChars="200"/>
        <w:contextualSpacing/>
        <w:rPr>
          <w:sz w:val="28"/>
          <w:szCs w:val="28"/>
        </w:rPr>
      </w:pPr>
      <w:r>
        <w:rPr>
          <w:rFonts w:hint="eastAsia"/>
          <w:sz w:val="28"/>
          <w:szCs w:val="28"/>
        </w:rPr>
        <w:t>通过自然与人工强化的入渗、滞蓄等方式，控制的降雨径流量与年降雨总量的比值。</w:t>
      </w:r>
    </w:p>
    <w:p>
      <w:pPr>
        <w:snapToGrid w:val="0"/>
        <w:spacing w:after="0" w:line="360" w:lineRule="auto"/>
        <w:contextualSpacing/>
        <w:rPr>
          <w:sz w:val="24"/>
          <w:szCs w:val="28"/>
        </w:rPr>
      </w:pPr>
      <w:r>
        <w:rPr>
          <w:rFonts w:hint="eastAsia"/>
          <w:sz w:val="24"/>
          <w:szCs w:val="28"/>
        </w:rPr>
        <w:t>【条文说明】雨水年径流总量控制率是海绵城市建设的核心评价指标。</w:t>
      </w:r>
    </w:p>
    <w:p>
      <w:pPr>
        <w:snapToGrid w:val="0"/>
        <w:spacing w:after="0" w:line="360" w:lineRule="auto"/>
        <w:ind w:firstLine="480"/>
        <w:contextualSpacing/>
        <w:rPr>
          <w:sz w:val="24"/>
          <w:szCs w:val="28"/>
        </w:rPr>
      </w:pPr>
      <w:r>
        <w:rPr>
          <w:rFonts w:hint="eastAsia"/>
          <w:sz w:val="24"/>
          <w:szCs w:val="28"/>
        </w:rPr>
        <w:t>中小降雨事件发生的频率高，累计降雨量占年均总降雨量的比例大，带来一定的雨水径流冲击和大量的污染负荷。雨水年径流总量控制率指标能体现对大量中小降雨事件的控制水平，对维系生态本底水文特征的原真性，实现海绵城市建设的综合目标具有重要意义。</w:t>
      </w:r>
    </w:p>
    <w:p>
      <w:pPr>
        <w:snapToGrid w:val="0"/>
        <w:spacing w:after="0" w:line="360" w:lineRule="auto"/>
        <w:contextualSpacing/>
        <w:rPr>
          <w:sz w:val="28"/>
          <w:szCs w:val="28"/>
        </w:rPr>
      </w:pPr>
      <w:r>
        <w:rPr>
          <w:b/>
          <w:sz w:val="28"/>
          <w:szCs w:val="28"/>
        </w:rPr>
        <w:t>2.0.2</w:t>
      </w:r>
      <w:r>
        <w:rPr>
          <w:rFonts w:hint="eastAsia"/>
          <w:sz w:val="28"/>
          <w:szCs w:val="28"/>
        </w:rPr>
        <w:t>汇水分区</w:t>
      </w:r>
      <w:r>
        <w:rPr>
          <w:rFonts w:ascii="黑体" w:hAnsi="黑体" w:eastAsia="黑体"/>
          <w:b/>
          <w:szCs w:val="21"/>
        </w:rPr>
        <w:t xml:space="preserve"> </w:t>
      </w:r>
      <w:r>
        <w:rPr>
          <w:sz w:val="28"/>
          <w:szCs w:val="28"/>
        </w:rPr>
        <w:t>watershed</w:t>
      </w:r>
    </w:p>
    <w:p>
      <w:pPr>
        <w:snapToGrid w:val="0"/>
        <w:spacing w:after="0" w:line="360" w:lineRule="auto"/>
        <w:ind w:firstLine="560" w:firstLineChars="200"/>
        <w:contextualSpacing/>
        <w:rPr>
          <w:sz w:val="28"/>
          <w:szCs w:val="28"/>
        </w:rPr>
      </w:pPr>
      <w:r>
        <w:rPr>
          <w:rFonts w:hint="eastAsia"/>
          <w:sz w:val="28"/>
          <w:szCs w:val="28"/>
        </w:rPr>
        <w:t>根据地形地貌划分的雨水地面径流相对独立的汇流区域。</w:t>
      </w:r>
    </w:p>
    <w:p>
      <w:pPr>
        <w:snapToGrid w:val="0"/>
        <w:spacing w:after="0" w:line="360" w:lineRule="auto"/>
        <w:contextualSpacing/>
        <w:rPr>
          <w:sz w:val="28"/>
          <w:szCs w:val="28"/>
        </w:rPr>
      </w:pPr>
      <w:r>
        <w:rPr>
          <w:rFonts w:hint="eastAsia"/>
          <w:sz w:val="24"/>
          <w:szCs w:val="28"/>
        </w:rPr>
        <w:t>【条文说明】雨水径流主要依靠重力进行地面汇流时，汇水分区主要以地形地貌、等高线为依据划分，在汇水分区基础上可进一步划分子汇水分区。</w:t>
      </w:r>
    </w:p>
    <w:p>
      <w:pPr>
        <w:snapToGrid w:val="0"/>
        <w:spacing w:after="0" w:line="360" w:lineRule="auto"/>
        <w:contextualSpacing/>
        <w:rPr>
          <w:rFonts w:ascii="黑体" w:hAnsi="黑体" w:eastAsia="黑体"/>
          <w:b/>
          <w:szCs w:val="21"/>
        </w:rPr>
      </w:pPr>
      <w:r>
        <w:rPr>
          <w:b/>
          <w:sz w:val="28"/>
          <w:szCs w:val="28"/>
        </w:rPr>
        <w:t>2.0.3</w:t>
      </w:r>
      <w:r>
        <w:rPr>
          <w:rFonts w:hint="eastAsia"/>
          <w:sz w:val="28"/>
          <w:szCs w:val="28"/>
        </w:rPr>
        <w:t>排水分区</w:t>
      </w:r>
      <w:r>
        <w:rPr>
          <w:rFonts w:ascii="黑体" w:hAnsi="黑体" w:eastAsia="黑体"/>
          <w:b/>
          <w:szCs w:val="21"/>
        </w:rPr>
        <w:t xml:space="preserve"> </w:t>
      </w:r>
      <w:r>
        <w:rPr>
          <w:sz w:val="28"/>
          <w:szCs w:val="28"/>
        </w:rPr>
        <w:t>catchment</w:t>
      </w:r>
    </w:p>
    <w:p>
      <w:pPr>
        <w:snapToGrid w:val="0"/>
        <w:spacing w:after="0" w:line="360" w:lineRule="auto"/>
        <w:ind w:firstLine="560" w:firstLineChars="200"/>
        <w:contextualSpacing/>
        <w:rPr>
          <w:sz w:val="28"/>
          <w:szCs w:val="28"/>
        </w:rPr>
      </w:pPr>
      <w:r>
        <w:rPr>
          <w:rFonts w:hint="eastAsia"/>
          <w:sz w:val="28"/>
          <w:szCs w:val="28"/>
        </w:rPr>
        <w:t>根据排水管渠的收水边界划分的、相对独立汇集排放雨水的区域。</w:t>
      </w:r>
    </w:p>
    <w:p>
      <w:pPr>
        <w:snapToGrid w:val="0"/>
        <w:spacing w:after="0" w:line="360" w:lineRule="auto"/>
        <w:contextualSpacing/>
        <w:rPr>
          <w:sz w:val="28"/>
          <w:szCs w:val="28"/>
        </w:rPr>
      </w:pPr>
      <w:r>
        <w:rPr>
          <w:rFonts w:hint="eastAsia"/>
          <w:sz w:val="24"/>
          <w:szCs w:val="28"/>
        </w:rPr>
        <w:t>【条文说明】沿排水口上溯，结合地形地貌等因素，通过地表与管渠汇流路径（污水不涉及地表汇流）分析确定的管渠的收水边界即为排水分区，在排水分区基础上可进一步划分子排水分区（sub-</w:t>
      </w:r>
      <w:r>
        <w:rPr>
          <w:sz w:val="24"/>
          <w:szCs w:val="28"/>
        </w:rPr>
        <w:t>catchment</w:t>
      </w:r>
      <w:r>
        <w:rPr>
          <w:rFonts w:hint="eastAsia"/>
          <w:sz w:val="24"/>
          <w:szCs w:val="28"/>
        </w:rPr>
        <w:t>）。本标准主要指分流制雨水系统、合流制排水系统的排水分区，不包括分流制污水系统的排水分区，但排水分区划分时，应考虑分流制排水系统中的雨污混接问题。</w:t>
      </w:r>
    </w:p>
    <w:p>
      <w:pPr>
        <w:snapToGrid w:val="0"/>
        <w:spacing w:after="0" w:line="360" w:lineRule="auto"/>
        <w:contextualSpacing/>
        <w:rPr>
          <w:rFonts w:ascii="黑体" w:hAnsi="黑体" w:eastAsia="黑体"/>
          <w:b/>
          <w:szCs w:val="21"/>
        </w:rPr>
      </w:pPr>
      <w:r>
        <w:rPr>
          <w:b/>
          <w:sz w:val="28"/>
          <w:szCs w:val="28"/>
        </w:rPr>
        <w:t>2.0.4</w:t>
      </w:r>
      <w:r>
        <w:rPr>
          <w:rFonts w:hint="eastAsia"/>
          <w:sz w:val="28"/>
          <w:szCs w:val="28"/>
        </w:rPr>
        <w:t>项目控制区</w:t>
      </w:r>
      <w:r>
        <w:rPr>
          <w:rFonts w:ascii="黑体" w:hAnsi="黑体" w:eastAsia="黑体"/>
          <w:b/>
          <w:szCs w:val="21"/>
        </w:rPr>
        <w:t xml:space="preserve"> </w:t>
      </w:r>
      <w:r>
        <w:rPr>
          <w:sz w:val="28"/>
          <w:szCs w:val="28"/>
        </w:rPr>
        <w:t xml:space="preserve">project tributary area </w:t>
      </w:r>
    </w:p>
    <w:p>
      <w:pPr>
        <w:snapToGrid w:val="0"/>
        <w:spacing w:after="0" w:line="360" w:lineRule="auto"/>
        <w:ind w:firstLine="560" w:firstLineChars="200"/>
        <w:contextualSpacing/>
        <w:rPr>
          <w:sz w:val="28"/>
          <w:szCs w:val="28"/>
        </w:rPr>
      </w:pPr>
      <w:r>
        <w:rPr>
          <w:rFonts w:hint="eastAsia"/>
          <w:sz w:val="28"/>
          <w:szCs w:val="28"/>
        </w:rPr>
        <w:t>建设项目所承担的雨水径流控制区域。</w:t>
      </w:r>
    </w:p>
    <w:p>
      <w:pPr>
        <w:snapToGrid w:val="0"/>
        <w:spacing w:after="0" w:line="360" w:lineRule="auto"/>
        <w:contextualSpacing/>
        <w:rPr>
          <w:sz w:val="24"/>
          <w:szCs w:val="28"/>
        </w:rPr>
      </w:pPr>
      <w:r>
        <w:rPr>
          <w:rFonts w:hint="eastAsia"/>
          <w:sz w:val="24"/>
          <w:szCs w:val="28"/>
        </w:rPr>
        <w:t>【条文说明】采用“渗、滞、蓄、净、用、排”等综合方法达到海绵城市雨水径流控制要求的建设项目或其包含的一个或若干设施所服务的汇水范围。</w:t>
      </w:r>
    </w:p>
    <w:p>
      <w:pPr>
        <w:snapToGrid w:val="0"/>
        <w:spacing w:after="0" w:line="360" w:lineRule="auto"/>
        <w:contextualSpacing/>
        <w:rPr>
          <w:sz w:val="28"/>
          <w:szCs w:val="28"/>
        </w:rPr>
      </w:pPr>
      <w:r>
        <w:rPr>
          <w:b/>
          <w:sz w:val="28"/>
          <w:szCs w:val="28"/>
        </w:rPr>
        <w:t>2.0.5</w:t>
      </w:r>
      <w:r>
        <w:rPr>
          <w:rFonts w:hint="eastAsia"/>
          <w:sz w:val="28"/>
          <w:szCs w:val="28"/>
        </w:rPr>
        <w:t>城市水体</w:t>
      </w:r>
      <w:r>
        <w:rPr>
          <w:sz w:val="28"/>
          <w:szCs w:val="28"/>
        </w:rPr>
        <w:t xml:space="preserve"> urban waterbody</w:t>
      </w:r>
    </w:p>
    <w:p>
      <w:pPr>
        <w:snapToGrid w:val="0"/>
        <w:spacing w:after="0" w:line="360" w:lineRule="auto"/>
        <w:ind w:firstLine="560" w:firstLineChars="200"/>
        <w:contextualSpacing/>
        <w:rPr>
          <w:sz w:val="28"/>
          <w:szCs w:val="28"/>
        </w:rPr>
      </w:pPr>
      <w:r>
        <w:rPr>
          <w:rFonts w:hint="eastAsia"/>
          <w:sz w:val="28"/>
          <w:szCs w:val="28"/>
        </w:rPr>
        <w:t>城市规划区内的河流、湖泊、湿地、坑塘等自然或人工水体。</w:t>
      </w:r>
    </w:p>
    <w:p>
      <w:pPr>
        <w:snapToGrid w:val="0"/>
        <w:spacing w:after="0" w:line="360" w:lineRule="auto"/>
        <w:contextualSpacing/>
        <w:rPr>
          <w:sz w:val="28"/>
          <w:szCs w:val="28"/>
        </w:rPr>
      </w:pPr>
      <w:r>
        <w:rPr>
          <w:rFonts w:hint="eastAsia"/>
          <w:sz w:val="24"/>
          <w:szCs w:val="28"/>
        </w:rPr>
        <w:t>【条文说明】城市水体包括但不限于城市排水系统的各类受纳水体，但不包括建筑小区内的水体。</w:t>
      </w:r>
    </w:p>
    <w:p>
      <w:pPr>
        <w:spacing w:line="360" w:lineRule="auto"/>
        <w:rPr>
          <w:sz w:val="28"/>
          <w:szCs w:val="28"/>
        </w:rPr>
      </w:pPr>
      <w:r>
        <w:rPr>
          <w:sz w:val="28"/>
          <w:szCs w:val="28"/>
        </w:rPr>
        <w:br w:type="page"/>
      </w:r>
    </w:p>
    <w:p>
      <w:pPr>
        <w:pStyle w:val="2"/>
      </w:pPr>
      <w:bookmarkStart w:id="13" w:name="_Toc517339204"/>
      <w:r>
        <w:t xml:space="preserve">3 </w:t>
      </w:r>
      <w:r>
        <w:rPr>
          <w:rFonts w:hint="eastAsia"/>
        </w:rPr>
        <w:t>基本规定</w:t>
      </w:r>
      <w:bookmarkEnd w:id="13"/>
    </w:p>
    <w:p>
      <w:pPr>
        <w:snapToGrid w:val="0"/>
        <w:spacing w:after="0" w:line="360" w:lineRule="auto"/>
        <w:contextualSpacing/>
        <w:rPr>
          <w:sz w:val="28"/>
          <w:szCs w:val="28"/>
        </w:rPr>
      </w:pPr>
      <w:r>
        <w:rPr>
          <w:b/>
          <w:sz w:val="28"/>
          <w:szCs w:val="28"/>
        </w:rPr>
        <w:t>3.0.1</w:t>
      </w:r>
      <w:r>
        <w:rPr>
          <w:rFonts w:hint="eastAsia"/>
          <w:sz w:val="28"/>
          <w:szCs w:val="28"/>
        </w:rPr>
        <w:t>海绵城市建设效果评价应遵循目标与问题导向相结合的原则，分别对项目实施有效性、排水或汇水分区及城市整体海绵效应进行评价，按排水或汇水分区为单元统计，以达到本标准要求的城市建成区面积占城市建成区总面积的比例作为评价结果。</w:t>
      </w:r>
    </w:p>
    <w:p>
      <w:pPr>
        <w:snapToGrid w:val="0"/>
        <w:spacing w:after="0" w:line="360" w:lineRule="auto"/>
        <w:contextualSpacing/>
        <w:rPr>
          <w:sz w:val="24"/>
          <w:szCs w:val="28"/>
        </w:rPr>
      </w:pPr>
      <w:r>
        <w:rPr>
          <w:rFonts w:hint="eastAsia"/>
          <w:sz w:val="24"/>
          <w:szCs w:val="28"/>
        </w:rPr>
        <w:t>【条文说明】规定了海绵城市建设效果的评价原则和评价结果。</w:t>
      </w:r>
    </w:p>
    <w:p>
      <w:pPr>
        <w:snapToGrid w:val="0"/>
        <w:spacing w:after="0" w:line="360" w:lineRule="auto"/>
        <w:contextualSpacing/>
        <w:rPr>
          <w:sz w:val="24"/>
          <w:szCs w:val="28"/>
        </w:rPr>
      </w:pPr>
      <w:r>
        <w:rPr>
          <w:sz w:val="24"/>
          <w:szCs w:val="28"/>
        </w:rPr>
        <w:t xml:space="preserve">    </w:t>
      </w:r>
      <w:r>
        <w:rPr>
          <w:rFonts w:hint="eastAsia"/>
          <w:sz w:val="24"/>
          <w:szCs w:val="28"/>
        </w:rPr>
        <w:t>海绵城市建设应以解决城市内涝、雨水资源流失、水体黑臭等问题为突破口，优先选择城市积水内涝、水体污染等问题突出的排水或汇水区域，推进区域整体治理，逐步实现“小雨不积水、大雨不内涝、水体不黑臭、热岛有缓解”。可根据积水点、污废水排水口和合流制溢流排水口上溯，科学划定排水分区与汇水分区并制定海绵城市建设方案。</w:t>
      </w:r>
    </w:p>
    <w:p>
      <w:pPr>
        <w:snapToGrid w:val="0"/>
        <w:spacing w:after="0" w:line="360" w:lineRule="auto"/>
        <w:ind w:firstLine="480" w:firstLineChars="200"/>
        <w:contextualSpacing/>
        <w:rPr>
          <w:sz w:val="28"/>
          <w:szCs w:val="28"/>
        </w:rPr>
      </w:pPr>
      <w:r>
        <w:rPr>
          <w:rFonts w:hint="eastAsia"/>
          <w:sz w:val="24"/>
          <w:szCs w:val="28"/>
        </w:rPr>
        <w:t>城市建成区面积以《中国城市统计年鉴》评价年的数据为准。</w:t>
      </w:r>
    </w:p>
    <w:p>
      <w:pPr>
        <w:tabs>
          <w:tab w:val="left" w:pos="6363"/>
        </w:tabs>
        <w:snapToGrid w:val="0"/>
        <w:spacing w:after="0" w:line="360" w:lineRule="auto"/>
        <w:contextualSpacing/>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3.0.2</w:t>
      </w:r>
      <w:r>
        <w:rPr>
          <w:rFonts w:hint="eastAsia"/>
          <w:color w:val="000000" w:themeColor="text1"/>
          <w:sz w:val="28"/>
          <w:szCs w:val="28"/>
          <w14:textFill>
            <w14:solidFill>
              <w14:schemeClr w14:val="tx1"/>
            </w14:solidFill>
          </w14:textFill>
        </w:rPr>
        <w:t>对项目实施有效性的评价，宜根据地形地貌特征、用地类型等，选择典型项目进行监测评价。每类典型项目选择</w:t>
      </w:r>
      <w:r>
        <w:rPr>
          <w:color w:val="000000" w:themeColor="text1"/>
          <w:sz w:val="28"/>
          <w:szCs w:val="28"/>
          <w14:textFill>
            <w14:solidFill>
              <w14:schemeClr w14:val="tx1"/>
            </w14:solidFill>
          </w14:textFill>
        </w:rPr>
        <w:t>2~3</w:t>
      </w:r>
      <w:r>
        <w:rPr>
          <w:rFonts w:hint="eastAsia"/>
          <w:color w:val="000000" w:themeColor="text1"/>
          <w:sz w:val="28"/>
          <w:szCs w:val="28"/>
          <w14:textFill>
            <w14:solidFill>
              <w14:schemeClr w14:val="tx1"/>
            </w14:solidFill>
          </w14:textFill>
        </w:rPr>
        <w:t>个监测项目，对其溢流排水口的水量、水质进行监测。</w:t>
      </w:r>
    </w:p>
    <w:p>
      <w:pPr>
        <w:tabs>
          <w:tab w:val="left" w:pos="6363"/>
        </w:tabs>
        <w:snapToGrid w:val="0"/>
        <w:spacing w:after="0" w:line="360" w:lineRule="auto"/>
        <w:contextualSpacing/>
        <w:rPr>
          <w:sz w:val="24"/>
          <w:szCs w:val="28"/>
        </w:rPr>
      </w:pPr>
      <w:r>
        <w:rPr>
          <w:rFonts w:hint="eastAsia"/>
          <w:sz w:val="24"/>
          <w:szCs w:val="28"/>
        </w:rPr>
        <w:t>【条文说明】规定了项目实施有效性评价中监测项目的选择。</w:t>
      </w:r>
    </w:p>
    <w:p>
      <w:pPr>
        <w:tabs>
          <w:tab w:val="left" w:pos="6363"/>
        </w:tabs>
        <w:snapToGrid w:val="0"/>
        <w:spacing w:after="0" w:line="360" w:lineRule="auto"/>
        <w:ind w:firstLine="480" w:firstLineChars="200"/>
        <w:contextualSpacing/>
        <w:rPr>
          <w:sz w:val="24"/>
          <w:szCs w:val="28"/>
        </w:rPr>
      </w:pPr>
      <w:r>
        <w:rPr>
          <w:rFonts w:hint="eastAsia"/>
          <w:sz w:val="24"/>
          <w:szCs w:val="28"/>
        </w:rPr>
        <w:t>为了节约评价成本和时间，提高评估效率，选择具有典型代表性的项目进行监测评价，籍此可以总结当地海绵城市建设的典型做法，亦为水文水力模型评价的参数率定与验证提供数据支撑。</w:t>
      </w:r>
    </w:p>
    <w:p>
      <w:pPr>
        <w:tabs>
          <w:tab w:val="left" w:pos="6363"/>
        </w:tabs>
        <w:snapToGrid w:val="0"/>
        <w:spacing w:after="0" w:line="360" w:lineRule="auto"/>
        <w:ind w:firstLine="480" w:firstLineChars="200"/>
        <w:contextualSpacing/>
        <w:rPr>
          <w:sz w:val="24"/>
          <w:szCs w:val="28"/>
        </w:rPr>
      </w:pPr>
      <w:r>
        <w:rPr>
          <w:rFonts w:hint="eastAsia"/>
          <w:sz w:val="24"/>
          <w:szCs w:val="28"/>
        </w:rPr>
        <w:t>监测的典型项目类型主要包括建筑小区、道路、停车场及广场、公园与防护绿地。其中，所选建筑小区类监测项目宜涵盖居住、商业和工业用地等用地类型。可在典型项目内选择对应汇水范围明确、进出水设施便于安装水量、水质监测设备的单项设施进行监测。</w:t>
      </w:r>
    </w:p>
    <w:p>
      <w:pPr>
        <w:tabs>
          <w:tab w:val="left" w:pos="6363"/>
        </w:tabs>
        <w:snapToGrid w:val="0"/>
        <w:spacing w:after="0" w:line="360" w:lineRule="auto"/>
        <w:ind w:firstLine="480" w:firstLineChars="200"/>
        <w:contextualSpacing/>
        <w:rPr>
          <w:sz w:val="24"/>
          <w:szCs w:val="28"/>
        </w:rPr>
      </w:pPr>
      <w:r>
        <w:rPr>
          <w:rFonts w:hint="eastAsia"/>
          <w:sz w:val="24"/>
          <w:szCs w:val="28"/>
        </w:rPr>
        <w:t>典型监测项目的选择宜符合以下原则：①对解决排水或汇水分区内的积水、径流污染等问题具有较显著贡献；②项目采用的技术措施和规模具有代表性；③管网资料齐全，对管网缺陷进行检测并完成修复（如清淤等）工作。</w:t>
      </w:r>
    </w:p>
    <w:p>
      <w:pPr>
        <w:snapToGrid w:val="0"/>
        <w:spacing w:after="0" w:line="360" w:lineRule="auto"/>
        <w:contextualSpacing/>
        <w:rPr>
          <w:sz w:val="28"/>
          <w:szCs w:val="28"/>
        </w:rPr>
      </w:pPr>
      <w:r>
        <w:rPr>
          <w:b/>
          <w:sz w:val="28"/>
          <w:szCs w:val="28"/>
        </w:rPr>
        <w:t>3.0.3</w:t>
      </w:r>
      <w:r>
        <w:rPr>
          <w:rFonts w:hint="eastAsia"/>
          <w:sz w:val="28"/>
          <w:szCs w:val="28"/>
        </w:rPr>
        <w:t>海绵城市建设效果评价应以不少于连续</w:t>
      </w:r>
      <w:r>
        <w:rPr>
          <w:sz w:val="28"/>
          <w:szCs w:val="28"/>
        </w:rPr>
        <w:t>1</w:t>
      </w:r>
      <w:r>
        <w:rPr>
          <w:rFonts w:hint="eastAsia"/>
          <w:sz w:val="28"/>
          <w:szCs w:val="28"/>
        </w:rPr>
        <w:t>年的监测数据为基础，结合现场检查和资料查阅进行综合评价。</w:t>
      </w:r>
    </w:p>
    <w:p>
      <w:pPr>
        <w:snapToGrid w:val="0"/>
        <w:spacing w:after="0" w:line="360" w:lineRule="auto"/>
        <w:contextualSpacing/>
        <w:rPr>
          <w:sz w:val="24"/>
          <w:szCs w:val="28"/>
        </w:rPr>
      </w:pPr>
      <w:r>
        <w:rPr>
          <w:rFonts w:hint="eastAsia"/>
          <w:sz w:val="24"/>
          <w:szCs w:val="28"/>
        </w:rPr>
        <w:t>【条文说明】规定了海绵城市建设效果的评价依据。</w:t>
      </w:r>
    </w:p>
    <w:p>
      <w:pPr>
        <w:snapToGrid w:val="0"/>
        <w:spacing w:after="0" w:line="360" w:lineRule="auto"/>
        <w:ind w:firstLine="480"/>
        <w:contextualSpacing/>
        <w:rPr>
          <w:sz w:val="24"/>
          <w:szCs w:val="28"/>
        </w:rPr>
      </w:pPr>
      <w:r>
        <w:rPr>
          <w:rFonts w:hint="eastAsia"/>
          <w:sz w:val="24"/>
          <w:szCs w:val="28"/>
        </w:rPr>
        <w:t>水文特征具有丰水年、平水年、枯水年三个典型特征年份，但其水文变化是以年为一个周期，故本标准要求进行至少一年的连续监测。</w:t>
      </w:r>
    </w:p>
    <w:p>
      <w:pPr>
        <w:tabs>
          <w:tab w:val="left" w:pos="6363"/>
        </w:tabs>
        <w:snapToGrid w:val="0"/>
        <w:spacing w:after="0" w:line="360" w:lineRule="auto"/>
        <w:ind w:firstLine="480" w:firstLineChars="200"/>
        <w:contextualSpacing/>
        <w:rPr>
          <w:sz w:val="24"/>
          <w:szCs w:val="28"/>
        </w:rPr>
      </w:pPr>
      <w:r>
        <w:rPr>
          <w:rFonts w:hint="eastAsia"/>
          <w:sz w:val="24"/>
          <w:szCs w:val="28"/>
        </w:rPr>
        <w:t>城市雨水工程基于统计学意义上的城市水文进行设计，实际降雨径流水量、水质的随机性与不确定性均很大，采用实际暴雨或大量监测来评估工程设施的建设成效是不现实的，故采用监测与模型模拟、图纸查阅和现场检查相结合的方法对海绵城市建设效果进行综合评价。</w:t>
      </w:r>
    </w:p>
    <w:p>
      <w:pPr>
        <w:snapToGrid w:val="0"/>
        <w:spacing w:after="0" w:line="360" w:lineRule="auto"/>
        <w:ind w:firstLine="480"/>
        <w:contextualSpacing/>
        <w:rPr>
          <w:sz w:val="24"/>
          <w:szCs w:val="28"/>
        </w:rPr>
      </w:pPr>
    </w:p>
    <w:p>
      <w:pPr>
        <w:snapToGrid w:val="0"/>
        <w:spacing w:after="0" w:line="360" w:lineRule="auto"/>
        <w:ind w:firstLine="560" w:firstLineChars="200"/>
        <w:contextualSpacing/>
        <w:rPr>
          <w:sz w:val="28"/>
          <w:szCs w:val="28"/>
        </w:rPr>
      </w:pPr>
    </w:p>
    <w:p>
      <w:pPr>
        <w:snapToGrid w:val="0"/>
        <w:spacing w:after="0" w:line="360" w:lineRule="auto"/>
        <w:contextualSpacing/>
        <w:rPr>
          <w:sz w:val="28"/>
          <w:szCs w:val="28"/>
        </w:rPr>
      </w:pPr>
    </w:p>
    <w:p>
      <w:pPr>
        <w:tabs>
          <w:tab w:val="left" w:pos="6363"/>
        </w:tabs>
        <w:snapToGrid w:val="0"/>
        <w:spacing w:after="0" w:line="360" w:lineRule="auto"/>
        <w:contextualSpacing/>
        <w:rPr>
          <w:color w:val="FF0000"/>
          <w:sz w:val="28"/>
          <w:szCs w:val="28"/>
        </w:rPr>
        <w:sectPr>
          <w:pgSz w:w="11906" w:h="16838"/>
          <w:pgMar w:top="1440" w:right="1800" w:bottom="1440" w:left="1800" w:header="851" w:footer="992" w:gutter="0"/>
          <w:cols w:space="425" w:num="1"/>
          <w:docGrid w:type="lines" w:linePitch="312" w:charSpace="0"/>
        </w:sectPr>
      </w:pPr>
    </w:p>
    <w:p>
      <w:pPr>
        <w:pStyle w:val="2"/>
      </w:pPr>
      <w:bookmarkStart w:id="14" w:name="_Toc517339205"/>
      <w:r>
        <w:t xml:space="preserve">4 </w:t>
      </w:r>
      <w:r>
        <w:rPr>
          <w:rFonts w:hint="eastAsia"/>
        </w:rPr>
        <w:t>评价内容</w:t>
      </w:r>
      <w:bookmarkEnd w:id="14"/>
    </w:p>
    <w:p>
      <w:pPr>
        <w:snapToGrid w:val="0"/>
        <w:spacing w:after="0" w:line="360" w:lineRule="auto"/>
        <w:contextualSpacing/>
        <w:rPr>
          <w:sz w:val="28"/>
          <w:szCs w:val="28"/>
        </w:rPr>
      </w:pPr>
      <w:r>
        <w:rPr>
          <w:b/>
          <w:sz w:val="28"/>
          <w:szCs w:val="28"/>
        </w:rPr>
        <w:t>4.0.1</w:t>
      </w:r>
      <w:r>
        <w:rPr>
          <w:rFonts w:hint="eastAsia"/>
          <w:sz w:val="28"/>
          <w:szCs w:val="28"/>
        </w:rPr>
        <w:t>海绵城市建设效果从项目建设与实施的有效性、能否实现海绵效应等方面进行评价，具体评价内容及其评价要求见表</w:t>
      </w:r>
      <w:r>
        <w:rPr>
          <w:sz w:val="28"/>
          <w:szCs w:val="28"/>
        </w:rPr>
        <w:t>4.0.1</w:t>
      </w:r>
      <w:r>
        <w:rPr>
          <w:rFonts w:hint="eastAsia"/>
          <w:sz w:val="28"/>
          <w:szCs w:val="28"/>
        </w:rPr>
        <w:t>。</w:t>
      </w:r>
    </w:p>
    <w:p>
      <w:pPr>
        <w:snapToGrid w:val="0"/>
        <w:spacing w:after="0" w:line="360" w:lineRule="auto"/>
        <w:contextualSpacing/>
        <w:rPr>
          <w:sz w:val="24"/>
          <w:szCs w:val="28"/>
        </w:rPr>
      </w:pPr>
      <w:r>
        <w:rPr>
          <w:rFonts w:hint="eastAsia"/>
          <w:sz w:val="24"/>
          <w:szCs w:val="28"/>
        </w:rPr>
        <w:t>【条文说明】规定了海绵城市建设的具体评价内容。</w:t>
      </w:r>
    </w:p>
    <w:p>
      <w:pPr>
        <w:snapToGrid w:val="0"/>
        <w:spacing w:after="0" w:line="360" w:lineRule="auto"/>
        <w:contextualSpacing/>
        <w:rPr>
          <w:sz w:val="28"/>
          <w:szCs w:val="28"/>
        </w:rPr>
      </w:pPr>
      <w:r>
        <w:rPr>
          <w:b/>
          <w:sz w:val="28"/>
          <w:szCs w:val="28"/>
        </w:rPr>
        <w:t>4.0.2</w:t>
      </w:r>
      <w:r>
        <w:rPr>
          <w:rFonts w:hint="eastAsia"/>
          <w:sz w:val="28"/>
          <w:szCs w:val="28"/>
        </w:rPr>
        <w:t>“地下水埋深变化趋势”、“城市热岛效应缓解”为考察内容，其他为考核内容。</w:t>
      </w:r>
    </w:p>
    <w:p>
      <w:pPr>
        <w:tabs>
          <w:tab w:val="left" w:pos="6363"/>
        </w:tabs>
        <w:snapToGrid w:val="0"/>
        <w:spacing w:after="0" w:line="360" w:lineRule="auto"/>
        <w:contextualSpacing/>
        <w:rPr>
          <w:sz w:val="24"/>
          <w:szCs w:val="28"/>
        </w:rPr>
      </w:pPr>
      <w:r>
        <w:rPr>
          <w:rFonts w:hint="eastAsia"/>
          <w:sz w:val="24"/>
          <w:szCs w:val="28"/>
        </w:rPr>
        <w:t>【条文说明】规定了海绵城市建设的考察内容与考核内容。</w:t>
      </w:r>
    </w:p>
    <w:p>
      <w:pPr>
        <w:snapToGrid w:val="0"/>
        <w:spacing w:after="0" w:line="360" w:lineRule="auto"/>
        <w:ind w:firstLine="480" w:firstLineChars="200"/>
        <w:contextualSpacing/>
        <w:rPr>
          <w:sz w:val="24"/>
          <w:szCs w:val="28"/>
        </w:rPr>
      </w:pPr>
      <w:r>
        <w:rPr>
          <w:rFonts w:hint="eastAsia"/>
          <w:sz w:val="24"/>
          <w:szCs w:val="28"/>
        </w:rPr>
        <w:t>海绵城市建设对于缓解地下水位下降与城市热岛效应具有重要作用，但同时由于城市地下水位与热岛效应受到多重因素的影响，存在一定的不确定性，因此将其作为引导性的考察内容。</w:t>
      </w:r>
    </w:p>
    <w:p>
      <w:pPr>
        <w:snapToGrid w:val="0"/>
        <w:spacing w:after="0" w:line="360" w:lineRule="auto"/>
        <w:ind w:firstLine="480" w:firstLineChars="200"/>
        <w:contextualSpacing/>
        <w:rPr>
          <w:sz w:val="24"/>
          <w:szCs w:val="28"/>
        </w:rPr>
      </w:pPr>
      <w:r>
        <w:rPr>
          <w:rFonts w:hint="eastAsia"/>
          <w:sz w:val="24"/>
          <w:szCs w:val="28"/>
        </w:rPr>
        <w:t>海绵城市建设增加城市可渗透地面面积，回补地下水，可以有效缓解部分城市存在的地下水位下降的问题。但地下水位的变化同时受到水文地质条件、人类活动、气候变化、季节等多重因素的影响。</w:t>
      </w:r>
    </w:p>
    <w:p>
      <w:pPr>
        <w:snapToGrid w:val="0"/>
        <w:spacing w:after="0" w:line="360" w:lineRule="auto"/>
        <w:ind w:firstLine="480" w:firstLineChars="200"/>
        <w:contextualSpacing/>
        <w:rPr>
          <w:sz w:val="28"/>
          <w:szCs w:val="28"/>
        </w:rPr>
      </w:pPr>
      <w:r>
        <w:rPr>
          <w:rFonts w:hint="eastAsia"/>
          <w:sz w:val="24"/>
          <w:szCs w:val="28"/>
        </w:rPr>
        <w:t>城市热岛效应形成的主要影响因素包括城市硬化下垫面的增加，自然植被的减少，机动车尾气排放等人类活动产生的热排放，区域气候变化的影响等。海绵城市建设引导在城市开发过程中更好的保护自然植被，增加可渗透下垫面，可以对城市热岛效应产生有效的缓解，但仍受到人为活动、气候等其他因素的影响。</w:t>
      </w:r>
    </w:p>
    <w:p>
      <w:pPr>
        <w:snapToGrid w:val="0"/>
        <w:spacing w:after="0" w:line="360" w:lineRule="auto"/>
        <w:contextualSpacing/>
        <w:rPr>
          <w:sz w:val="28"/>
          <w:szCs w:val="28"/>
        </w:rPr>
      </w:pPr>
    </w:p>
    <w:p>
      <w:pPr>
        <w:widowControl/>
        <w:snapToGrid w:val="0"/>
        <w:spacing w:after="0" w:line="360" w:lineRule="auto"/>
        <w:contextualSpacing/>
        <w:jc w:val="left"/>
        <w:rPr>
          <w:b/>
        </w:rPr>
        <w:sectPr>
          <w:pgSz w:w="11906" w:h="16838"/>
          <w:pgMar w:top="1440" w:right="1800" w:bottom="1440" w:left="1800" w:header="851" w:footer="992" w:gutter="0"/>
          <w:cols w:space="425" w:num="1"/>
          <w:docGrid w:type="lines" w:linePitch="312" w:charSpace="0"/>
        </w:sectPr>
      </w:pPr>
    </w:p>
    <w:p>
      <w:pPr>
        <w:spacing w:line="360" w:lineRule="auto"/>
        <w:jc w:val="center"/>
        <w:rPr>
          <w:rFonts w:eastAsia="黑体"/>
          <w:sz w:val="24"/>
          <w:szCs w:val="28"/>
        </w:rPr>
      </w:pPr>
      <w:r>
        <w:rPr>
          <w:rFonts w:hint="eastAsia" w:eastAsia="黑体"/>
          <w:sz w:val="24"/>
          <w:szCs w:val="28"/>
        </w:rPr>
        <w:t>表</w:t>
      </w:r>
      <w:r>
        <w:rPr>
          <w:rFonts w:eastAsia="黑体"/>
          <w:sz w:val="24"/>
          <w:szCs w:val="28"/>
        </w:rPr>
        <w:t xml:space="preserve">4.0.1 </w:t>
      </w:r>
      <w:r>
        <w:rPr>
          <w:rFonts w:hint="eastAsia" w:eastAsia="黑体"/>
          <w:sz w:val="24"/>
          <w:szCs w:val="28"/>
        </w:rPr>
        <w:t>海绵城市建设评价内容与要求</w:t>
      </w:r>
    </w:p>
    <w:tbl>
      <w:tblPr>
        <w:tblStyle w:val="23"/>
        <w:tblW w:w="14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063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547" w:type="dxa"/>
            <w:gridSpan w:val="2"/>
            <w:vAlign w:val="center"/>
          </w:tcPr>
          <w:p>
            <w:pPr>
              <w:adjustRightInd w:val="0"/>
              <w:snapToGrid w:val="0"/>
              <w:contextualSpacing/>
              <w:jc w:val="center"/>
              <w:rPr>
                <w:rFonts w:ascii="宋体" w:hAnsi="宋体"/>
                <w:b/>
                <w:sz w:val="22"/>
                <w:szCs w:val="22"/>
              </w:rPr>
            </w:pPr>
            <w:r>
              <w:rPr>
                <w:rFonts w:hint="eastAsia" w:ascii="宋体" w:hAnsi="宋体"/>
                <w:b/>
                <w:sz w:val="22"/>
                <w:szCs w:val="22"/>
              </w:rPr>
              <w:t>评价内容</w:t>
            </w:r>
          </w:p>
        </w:tc>
        <w:tc>
          <w:tcPr>
            <w:tcW w:w="10631" w:type="dxa"/>
            <w:vAlign w:val="center"/>
          </w:tcPr>
          <w:p>
            <w:pPr>
              <w:adjustRightInd w:val="0"/>
              <w:snapToGrid w:val="0"/>
              <w:contextualSpacing/>
              <w:jc w:val="center"/>
              <w:rPr>
                <w:rFonts w:ascii="宋体" w:hAnsi="宋体"/>
                <w:b/>
                <w:sz w:val="22"/>
                <w:szCs w:val="22"/>
              </w:rPr>
            </w:pPr>
            <w:r>
              <w:rPr>
                <w:rFonts w:hint="eastAsia" w:ascii="宋体" w:hAnsi="宋体"/>
                <w:b/>
                <w:sz w:val="22"/>
                <w:szCs w:val="22"/>
              </w:rPr>
              <w:t>评价要求</w:t>
            </w:r>
          </w:p>
        </w:tc>
        <w:tc>
          <w:tcPr>
            <w:tcW w:w="1134" w:type="dxa"/>
            <w:vAlign w:val="center"/>
          </w:tcPr>
          <w:p>
            <w:pPr>
              <w:adjustRightInd w:val="0"/>
              <w:snapToGrid w:val="0"/>
              <w:contextualSpacing/>
              <w:jc w:val="center"/>
              <w:rPr>
                <w:rFonts w:ascii="宋体" w:hAnsi="宋体"/>
                <w:b/>
                <w:sz w:val="22"/>
                <w:szCs w:val="22"/>
              </w:rPr>
            </w:pPr>
            <w:r>
              <w:rPr>
                <w:rFonts w:hint="eastAsia" w:ascii="宋体" w:hAnsi="宋体"/>
                <w:b/>
                <w:sz w:val="22"/>
                <w:szCs w:val="22"/>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2547" w:type="dxa"/>
            <w:gridSpan w:val="2"/>
            <w:vAlign w:val="center"/>
          </w:tcPr>
          <w:p>
            <w:pPr>
              <w:adjustRightInd w:val="0"/>
              <w:snapToGrid w:val="0"/>
              <w:contextualSpacing/>
              <w:jc w:val="left"/>
              <w:rPr>
                <w:sz w:val="22"/>
                <w:szCs w:val="22"/>
              </w:rPr>
            </w:pPr>
            <w:r>
              <w:rPr>
                <w:sz w:val="22"/>
                <w:szCs w:val="22"/>
              </w:rPr>
              <w:t>1、</w:t>
            </w:r>
            <w:r>
              <w:rPr>
                <w:rFonts w:hint="eastAsia"/>
                <w:sz w:val="22"/>
                <w:szCs w:val="22"/>
              </w:rPr>
              <w:t>雨水年径流总量控制率及其径流体积（海绵体）控制</w:t>
            </w:r>
          </w:p>
        </w:tc>
        <w:tc>
          <w:tcPr>
            <w:tcW w:w="10631" w:type="dxa"/>
            <w:vAlign w:val="center"/>
          </w:tcPr>
          <w:p>
            <w:pPr>
              <w:adjustRightInd w:val="0"/>
              <w:snapToGrid w:val="0"/>
              <w:contextualSpacing/>
              <w:jc w:val="left"/>
              <w:rPr>
                <w:rFonts w:ascii="宋体" w:hAnsi="宋体"/>
                <w:sz w:val="22"/>
                <w:szCs w:val="22"/>
              </w:rPr>
            </w:pPr>
            <w:r>
              <w:rPr>
                <w:rFonts w:hint="eastAsia" w:ascii="宋体" w:hAnsi="宋体"/>
                <w:sz w:val="22"/>
                <w:szCs w:val="22"/>
              </w:rPr>
              <w:t>（1）新建区：不得低于“我国雨水年径流总量控制率分区图”所在区域规定下限值，及其所对应计算的径流体积；</w:t>
            </w:r>
          </w:p>
          <w:p>
            <w:pPr>
              <w:adjustRightInd w:val="0"/>
              <w:snapToGrid w:val="0"/>
              <w:contextualSpacing/>
              <w:jc w:val="left"/>
              <w:rPr>
                <w:rFonts w:ascii="宋体" w:hAnsi="宋体"/>
                <w:sz w:val="22"/>
                <w:szCs w:val="22"/>
              </w:rPr>
            </w:pPr>
            <w:r>
              <w:rPr>
                <w:rFonts w:hint="eastAsia" w:ascii="宋体" w:hAnsi="宋体"/>
                <w:sz w:val="22"/>
                <w:szCs w:val="22"/>
              </w:rPr>
              <w:t>（2）建成区：经技术经济比较，不宜低于“我国雨水年径流总量控制率分区图”所在区域规定下限值，及其所对应计算的径流体积</w:t>
            </w:r>
          </w:p>
        </w:tc>
        <w:tc>
          <w:tcPr>
            <w:tcW w:w="1134" w:type="dxa"/>
            <w:vAlign w:val="center"/>
          </w:tcPr>
          <w:p>
            <w:pPr>
              <w:adjustRightInd w:val="0"/>
              <w:snapToGrid w:val="0"/>
              <w:contextualSpacing/>
              <w:jc w:val="center"/>
              <w:rPr>
                <w:sz w:val="22"/>
                <w:szCs w:val="22"/>
              </w:rPr>
            </w:pPr>
            <w:r>
              <w:rPr>
                <w:rFonts w:hint="eastAsia"/>
                <w:sz w:val="22"/>
                <w:szCs w:val="22"/>
              </w:rPr>
              <w:t>本标准</w:t>
            </w:r>
            <w:r>
              <w:rPr>
                <w:sz w:val="22"/>
                <w:szCs w:val="22"/>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547" w:type="dxa"/>
            <w:gridSpan w:val="2"/>
            <w:vAlign w:val="center"/>
          </w:tcPr>
          <w:p>
            <w:pPr>
              <w:adjustRightInd w:val="0"/>
              <w:snapToGrid w:val="0"/>
              <w:contextualSpacing/>
              <w:jc w:val="left"/>
              <w:rPr>
                <w:sz w:val="22"/>
                <w:szCs w:val="22"/>
              </w:rPr>
            </w:pPr>
            <w:r>
              <w:rPr>
                <w:sz w:val="22"/>
                <w:szCs w:val="22"/>
              </w:rPr>
              <w:t>2</w:t>
            </w:r>
            <w:r>
              <w:rPr>
                <w:rFonts w:hint="eastAsia"/>
                <w:sz w:val="22"/>
                <w:szCs w:val="22"/>
              </w:rPr>
              <w:t>、路面积水控制与内涝防治</w:t>
            </w:r>
          </w:p>
        </w:tc>
        <w:tc>
          <w:tcPr>
            <w:tcW w:w="10631" w:type="dxa"/>
            <w:vAlign w:val="center"/>
          </w:tcPr>
          <w:p>
            <w:pPr>
              <w:adjustRightInd w:val="0"/>
              <w:snapToGrid w:val="0"/>
              <w:contextualSpacing/>
              <w:jc w:val="left"/>
              <w:rPr>
                <w:sz w:val="22"/>
                <w:szCs w:val="22"/>
              </w:rPr>
            </w:pPr>
            <w:r>
              <w:rPr>
                <w:rFonts w:hint="eastAsia"/>
                <w:sz w:val="22"/>
                <w:szCs w:val="22"/>
              </w:rPr>
              <w:t>按照《室外排水设计规范》（</w:t>
            </w:r>
            <w:r>
              <w:rPr>
                <w:sz w:val="22"/>
                <w:szCs w:val="22"/>
              </w:rPr>
              <w:t>GB 50014</w:t>
            </w:r>
            <w:r>
              <w:rPr>
                <w:rFonts w:hint="eastAsia"/>
                <w:sz w:val="22"/>
                <w:szCs w:val="22"/>
              </w:rPr>
              <w:t>）与《城镇内涝防治技术规范》（</w:t>
            </w:r>
            <w:r>
              <w:rPr>
                <w:sz w:val="22"/>
                <w:szCs w:val="22"/>
              </w:rPr>
              <w:t>GB 51222</w:t>
            </w:r>
            <w:r>
              <w:rPr>
                <w:rFonts w:hint="eastAsia"/>
                <w:sz w:val="22"/>
                <w:szCs w:val="22"/>
              </w:rPr>
              <w:t>）要求，</w:t>
            </w:r>
          </w:p>
          <w:p>
            <w:pPr>
              <w:adjustRightInd w:val="0"/>
              <w:snapToGrid w:val="0"/>
              <w:contextualSpacing/>
              <w:jc w:val="left"/>
              <w:rPr>
                <w:sz w:val="22"/>
                <w:szCs w:val="22"/>
              </w:rPr>
            </w:pPr>
            <w:r>
              <w:rPr>
                <w:rFonts w:hint="eastAsia"/>
                <w:sz w:val="22"/>
                <w:szCs w:val="22"/>
              </w:rPr>
              <w:t>（</w:t>
            </w:r>
            <w:r>
              <w:rPr>
                <w:sz w:val="22"/>
                <w:szCs w:val="22"/>
              </w:rPr>
              <w:t>1）</w:t>
            </w:r>
            <w:r>
              <w:rPr>
                <w:rFonts w:hint="eastAsia"/>
                <w:sz w:val="22"/>
                <w:szCs w:val="22"/>
              </w:rPr>
              <w:t>雨水排水设计重现期对应的降雨情况下，不应有积水现象；</w:t>
            </w:r>
          </w:p>
          <w:p>
            <w:pPr>
              <w:adjustRightInd w:val="0"/>
              <w:snapToGrid w:val="0"/>
              <w:contextualSpacing/>
              <w:jc w:val="left"/>
              <w:rPr>
                <w:sz w:val="22"/>
                <w:szCs w:val="22"/>
              </w:rPr>
            </w:pPr>
            <w:r>
              <w:rPr>
                <w:rFonts w:hint="eastAsia"/>
                <w:sz w:val="22"/>
                <w:szCs w:val="22"/>
              </w:rPr>
              <w:t>（</w:t>
            </w:r>
            <w:r>
              <w:rPr>
                <w:sz w:val="22"/>
                <w:szCs w:val="22"/>
              </w:rPr>
              <w:t>2）内涝防治设计重现期对应的暴雨情况下，不</w:t>
            </w:r>
            <w:r>
              <w:rPr>
                <w:rFonts w:hint="eastAsia"/>
                <w:sz w:val="22"/>
                <w:szCs w:val="22"/>
              </w:rPr>
              <w:t>得</w:t>
            </w:r>
            <w:r>
              <w:rPr>
                <w:sz w:val="22"/>
                <w:szCs w:val="22"/>
              </w:rPr>
              <w:t>出现内涝</w:t>
            </w:r>
          </w:p>
        </w:tc>
        <w:tc>
          <w:tcPr>
            <w:tcW w:w="1134" w:type="dxa"/>
            <w:vAlign w:val="center"/>
          </w:tcPr>
          <w:p>
            <w:pPr>
              <w:adjustRightInd w:val="0"/>
              <w:snapToGrid w:val="0"/>
              <w:contextualSpacing/>
              <w:jc w:val="center"/>
              <w:rPr>
                <w:sz w:val="22"/>
                <w:szCs w:val="22"/>
              </w:rPr>
            </w:pPr>
            <w:r>
              <w:rPr>
                <w:rFonts w:hint="eastAsia"/>
                <w:sz w:val="22"/>
                <w:szCs w:val="22"/>
              </w:rPr>
              <w:t>本标准</w:t>
            </w:r>
            <w:r>
              <w:rPr>
                <w:sz w:val="22"/>
                <w:szCs w:val="22"/>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547" w:type="dxa"/>
            <w:gridSpan w:val="2"/>
            <w:vAlign w:val="center"/>
          </w:tcPr>
          <w:p>
            <w:pPr>
              <w:adjustRightInd w:val="0"/>
              <w:snapToGrid w:val="0"/>
              <w:contextualSpacing/>
              <w:rPr>
                <w:sz w:val="22"/>
                <w:szCs w:val="22"/>
              </w:rPr>
            </w:pPr>
            <w:r>
              <w:rPr>
                <w:sz w:val="22"/>
                <w:szCs w:val="22"/>
              </w:rPr>
              <w:t>3</w:t>
            </w:r>
            <w:r>
              <w:rPr>
                <w:rFonts w:hint="eastAsia"/>
                <w:sz w:val="22"/>
                <w:szCs w:val="22"/>
              </w:rPr>
              <w:t>、城市水体环境质量</w:t>
            </w:r>
          </w:p>
        </w:tc>
        <w:tc>
          <w:tcPr>
            <w:tcW w:w="10631" w:type="dxa"/>
            <w:vAlign w:val="center"/>
          </w:tcPr>
          <w:p>
            <w:pPr>
              <w:adjustRightInd w:val="0"/>
              <w:snapToGrid w:val="0"/>
              <w:contextualSpacing/>
              <w:rPr>
                <w:sz w:val="22"/>
                <w:szCs w:val="22"/>
              </w:rPr>
            </w:pPr>
            <w:r>
              <w:rPr>
                <w:rFonts w:hint="eastAsia"/>
                <w:sz w:val="22"/>
                <w:szCs w:val="22"/>
              </w:rPr>
              <w:t>（</w:t>
            </w:r>
            <w:r>
              <w:rPr>
                <w:sz w:val="22"/>
                <w:szCs w:val="22"/>
              </w:rPr>
              <w:t>1）</w:t>
            </w:r>
            <w:r>
              <w:rPr>
                <w:rFonts w:hint="eastAsia"/>
                <w:sz w:val="22"/>
                <w:szCs w:val="22"/>
              </w:rPr>
              <w:t>旱天无污水废水直排；</w:t>
            </w:r>
          </w:p>
          <w:p>
            <w:pPr>
              <w:adjustRightInd w:val="0"/>
              <w:snapToGrid w:val="0"/>
              <w:contextualSpacing/>
              <w:rPr>
                <w:sz w:val="22"/>
                <w:szCs w:val="22"/>
              </w:rPr>
            </w:pPr>
            <w:r>
              <w:rPr>
                <w:rFonts w:hint="eastAsia"/>
                <w:sz w:val="22"/>
                <w:szCs w:val="22"/>
              </w:rPr>
              <w:t>（</w:t>
            </w:r>
            <w:r>
              <w:rPr>
                <w:sz w:val="22"/>
                <w:szCs w:val="22"/>
              </w:rPr>
              <w:t>2）</w:t>
            </w:r>
            <w:r>
              <w:rPr>
                <w:rFonts w:hint="eastAsia"/>
                <w:sz w:val="22"/>
                <w:szCs w:val="22"/>
              </w:rPr>
              <w:t>控制合流制溢流污染不得使所对应的受纳水体出现黑臭，或年均溢流污染物</w:t>
            </w:r>
            <w:r>
              <w:rPr>
                <w:sz w:val="22"/>
                <w:szCs w:val="22"/>
              </w:rPr>
              <w:t>SS</w:t>
            </w:r>
            <w:r>
              <w:rPr>
                <w:rFonts w:hint="eastAsia"/>
                <w:sz w:val="22"/>
                <w:szCs w:val="22"/>
              </w:rPr>
              <w:t>总量削减率不宜低于5</w:t>
            </w:r>
            <w:r>
              <w:rPr>
                <w:sz w:val="22"/>
                <w:szCs w:val="22"/>
              </w:rPr>
              <w:t>0</w:t>
            </w:r>
            <w:r>
              <w:rPr>
                <w:rFonts w:hint="eastAsia"/>
                <w:sz w:val="22"/>
                <w:szCs w:val="22"/>
              </w:rPr>
              <w:t>%，月均溢流污染物S</w:t>
            </w:r>
            <w:r>
              <w:rPr>
                <w:sz w:val="22"/>
                <w:szCs w:val="22"/>
              </w:rPr>
              <w:t>S</w:t>
            </w:r>
            <w:r>
              <w:rPr>
                <w:rFonts w:hint="eastAsia"/>
                <w:sz w:val="22"/>
                <w:szCs w:val="22"/>
              </w:rPr>
              <w:t>浓度不宜超过</w:t>
            </w:r>
            <w:r>
              <w:rPr>
                <w:sz w:val="22"/>
                <w:szCs w:val="22"/>
              </w:rPr>
              <w:t>50mg/L</w:t>
            </w:r>
            <w:r>
              <w:rPr>
                <w:rFonts w:hint="eastAsia"/>
                <w:sz w:val="22"/>
                <w:szCs w:val="22"/>
              </w:rPr>
              <w:t>，或溢流污染经控制后年均溢流频次不宜超过</w:t>
            </w:r>
            <w:r>
              <w:rPr>
                <w:sz w:val="22"/>
                <w:szCs w:val="22"/>
              </w:rPr>
              <w:t>10</w:t>
            </w:r>
            <w:r>
              <w:rPr>
                <w:rFonts w:hint="eastAsia"/>
                <w:sz w:val="22"/>
                <w:szCs w:val="22"/>
              </w:rPr>
              <w:t xml:space="preserve">次； </w:t>
            </w:r>
          </w:p>
          <w:p>
            <w:pPr>
              <w:adjustRightInd w:val="0"/>
              <w:snapToGrid w:val="0"/>
              <w:contextualSpacing/>
              <w:rPr>
                <w:sz w:val="22"/>
                <w:szCs w:val="22"/>
              </w:rPr>
            </w:pPr>
            <w:r>
              <w:rPr>
                <w:rFonts w:hint="eastAsia"/>
                <w:sz w:val="22"/>
                <w:szCs w:val="22"/>
              </w:rPr>
              <w:t>（</w:t>
            </w:r>
            <w:r>
              <w:rPr>
                <w:sz w:val="22"/>
                <w:szCs w:val="22"/>
              </w:rPr>
              <w:t>3）水体不黑臭：透明度＞25cm（水深小于25cm时，该指标按水深的40%取值），溶解氧＞2.0mg/L</w:t>
            </w:r>
            <w:r>
              <w:rPr>
                <w:rFonts w:hint="eastAsia"/>
                <w:sz w:val="22"/>
                <w:szCs w:val="22"/>
              </w:rPr>
              <w:t>，氧化还原电位＞</w:t>
            </w:r>
            <w:r>
              <w:rPr>
                <w:sz w:val="22"/>
                <w:szCs w:val="22"/>
              </w:rPr>
              <w:t>50mV</w:t>
            </w:r>
            <w:r>
              <w:rPr>
                <w:rFonts w:hint="eastAsia"/>
                <w:sz w:val="22"/>
                <w:szCs w:val="22"/>
              </w:rPr>
              <w:t>，氨氮＜</w:t>
            </w:r>
            <w:r>
              <w:rPr>
                <w:sz w:val="22"/>
                <w:szCs w:val="22"/>
              </w:rPr>
              <w:t>8.0mg/L</w:t>
            </w:r>
            <w:r>
              <w:rPr>
                <w:rFonts w:hint="eastAsia"/>
                <w:sz w:val="22"/>
                <w:szCs w:val="22"/>
              </w:rPr>
              <w:t>；</w:t>
            </w:r>
          </w:p>
          <w:p>
            <w:pPr>
              <w:adjustRightInd w:val="0"/>
              <w:snapToGrid w:val="0"/>
              <w:contextualSpacing/>
              <w:rPr>
                <w:sz w:val="22"/>
                <w:szCs w:val="22"/>
              </w:rPr>
            </w:pPr>
            <w:r>
              <w:rPr>
                <w:rFonts w:hint="eastAsia"/>
                <w:sz w:val="22"/>
                <w:szCs w:val="22"/>
              </w:rPr>
              <w:t>（4）不劣于海绵城市建设前的水质；河流水系存在上游来水时，旱天下游断面水质不劣于上游来水水质</w:t>
            </w:r>
          </w:p>
        </w:tc>
        <w:tc>
          <w:tcPr>
            <w:tcW w:w="1134" w:type="dxa"/>
            <w:vAlign w:val="center"/>
          </w:tcPr>
          <w:p>
            <w:pPr>
              <w:adjustRightInd w:val="0"/>
              <w:snapToGrid w:val="0"/>
              <w:contextualSpacing/>
              <w:jc w:val="center"/>
              <w:rPr>
                <w:sz w:val="22"/>
                <w:szCs w:val="22"/>
              </w:rPr>
            </w:pPr>
            <w:r>
              <w:rPr>
                <w:rFonts w:hint="eastAsia"/>
                <w:sz w:val="22"/>
                <w:szCs w:val="22"/>
              </w:rPr>
              <w:t>本标准</w:t>
            </w:r>
            <w:r>
              <w:rPr>
                <w:sz w:val="22"/>
                <w:szCs w:val="22"/>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88" w:type="dxa"/>
            <w:vMerge w:val="restart"/>
            <w:vAlign w:val="center"/>
          </w:tcPr>
          <w:p>
            <w:pPr>
              <w:adjustRightInd w:val="0"/>
              <w:snapToGrid w:val="0"/>
              <w:contextualSpacing/>
              <w:rPr>
                <w:sz w:val="22"/>
                <w:szCs w:val="22"/>
              </w:rPr>
            </w:pPr>
            <w:r>
              <w:rPr>
                <w:sz w:val="22"/>
                <w:szCs w:val="22"/>
              </w:rPr>
              <w:t>4</w:t>
            </w:r>
            <w:r>
              <w:rPr>
                <w:rFonts w:hint="eastAsia"/>
                <w:sz w:val="22"/>
                <w:szCs w:val="22"/>
              </w:rPr>
              <w:t>、项目实施有效性</w:t>
            </w:r>
          </w:p>
        </w:tc>
        <w:tc>
          <w:tcPr>
            <w:tcW w:w="1559" w:type="dxa"/>
            <w:vAlign w:val="center"/>
          </w:tcPr>
          <w:p>
            <w:pPr>
              <w:adjustRightInd w:val="0"/>
              <w:snapToGrid w:val="0"/>
              <w:contextualSpacing/>
              <w:rPr>
                <w:sz w:val="22"/>
                <w:szCs w:val="22"/>
              </w:rPr>
            </w:pPr>
            <w:r>
              <w:rPr>
                <w:rFonts w:hint="eastAsia"/>
                <w:sz w:val="22"/>
                <w:szCs w:val="22"/>
              </w:rPr>
              <w:t>建筑小区</w:t>
            </w:r>
          </w:p>
        </w:tc>
        <w:tc>
          <w:tcPr>
            <w:tcW w:w="10631" w:type="dxa"/>
            <w:vAlign w:val="center"/>
          </w:tcPr>
          <w:p>
            <w:pPr>
              <w:adjustRightInd w:val="0"/>
              <w:snapToGrid w:val="0"/>
              <w:contextualSpacing/>
              <w:rPr>
                <w:rFonts w:ascii="宋体" w:hAnsi="宋体"/>
                <w:i/>
                <w:sz w:val="22"/>
                <w:szCs w:val="22"/>
              </w:rPr>
            </w:pPr>
            <w:r>
              <w:rPr>
                <w:rFonts w:hint="eastAsia" w:ascii="宋体" w:hAnsi="宋体"/>
                <w:sz w:val="22"/>
                <w:szCs w:val="22"/>
              </w:rPr>
              <w:t>（</w:t>
            </w:r>
            <w:r>
              <w:rPr>
                <w:rFonts w:ascii="宋体" w:hAnsi="宋体"/>
                <w:sz w:val="22"/>
                <w:szCs w:val="22"/>
              </w:rPr>
              <w:t>1）</w:t>
            </w:r>
            <w:r>
              <w:rPr>
                <w:rFonts w:hint="eastAsia" w:ascii="宋体" w:hAnsi="宋体"/>
                <w:sz w:val="22"/>
                <w:szCs w:val="22"/>
              </w:rPr>
              <w:t>雨水年径流总量控制率及其径流体积（海绵体）控制：新建项目不应低于“我国雨水年径流总量控制率分区图”所在区域规定下限值，及其所对应计算的径流体积；改扩建项目经技术经济比较，不宜低于“我国雨水年径流总量控制率分区图”所在区域规定下限值，及其所对应计算的径流体积；</w:t>
            </w:r>
          </w:p>
          <w:p>
            <w:pPr>
              <w:adjustRightInd w:val="0"/>
              <w:snapToGrid w:val="0"/>
              <w:contextualSpacing/>
              <w:rPr>
                <w:sz w:val="22"/>
                <w:szCs w:val="22"/>
              </w:rPr>
            </w:pPr>
            <w:r>
              <w:rPr>
                <w:rFonts w:hint="eastAsia" w:ascii="宋体" w:hAnsi="宋体"/>
                <w:sz w:val="22"/>
                <w:szCs w:val="22"/>
              </w:rPr>
              <w:t>（</w:t>
            </w:r>
            <w:r>
              <w:rPr>
                <w:rFonts w:ascii="宋体" w:hAnsi="宋体"/>
                <w:sz w:val="22"/>
                <w:szCs w:val="22"/>
              </w:rPr>
              <w:t>2）</w:t>
            </w:r>
            <w:r>
              <w:rPr>
                <w:rFonts w:hint="eastAsia" w:ascii="宋体" w:hAnsi="宋体"/>
                <w:sz w:val="22"/>
                <w:szCs w:val="22"/>
              </w:rPr>
              <w:t>径流污染控制</w:t>
            </w:r>
            <w:r>
              <w:rPr>
                <w:rFonts w:hint="eastAsia"/>
                <w:sz w:val="22"/>
                <w:szCs w:val="22"/>
              </w:rPr>
              <w:t>：新建项目雨水年径流污染物总量（以SS计）削减率不低于</w:t>
            </w:r>
            <w:r>
              <w:rPr>
                <w:sz w:val="22"/>
                <w:szCs w:val="22"/>
              </w:rPr>
              <w:t>70%</w:t>
            </w:r>
            <w:r>
              <w:rPr>
                <w:rFonts w:hint="eastAsia"/>
                <w:sz w:val="22"/>
                <w:szCs w:val="22"/>
              </w:rPr>
              <w:t>，改扩建项目雨水年径流污染物总量（以SS计）削减率不低于</w:t>
            </w:r>
            <w:r>
              <w:rPr>
                <w:sz w:val="22"/>
                <w:szCs w:val="22"/>
              </w:rPr>
              <w:t>40%</w:t>
            </w:r>
            <w:r>
              <w:rPr>
                <w:rFonts w:hint="eastAsia"/>
                <w:sz w:val="22"/>
                <w:szCs w:val="22"/>
              </w:rPr>
              <w:t>；</w:t>
            </w:r>
          </w:p>
          <w:p>
            <w:pPr>
              <w:adjustRightInd w:val="0"/>
              <w:snapToGrid w:val="0"/>
              <w:contextualSpacing/>
              <w:rPr>
                <w:sz w:val="22"/>
                <w:szCs w:val="22"/>
              </w:rPr>
            </w:pPr>
            <w:r>
              <w:rPr>
                <w:rFonts w:hint="eastAsia"/>
                <w:sz w:val="22"/>
                <w:szCs w:val="22"/>
              </w:rPr>
              <w:t>（</w:t>
            </w:r>
            <w:r>
              <w:rPr>
                <w:sz w:val="22"/>
                <w:szCs w:val="22"/>
              </w:rPr>
              <w:t>3）径流峰值控制：</w:t>
            </w:r>
            <w:r>
              <w:rPr>
                <w:rFonts w:hint="eastAsia"/>
                <w:sz w:val="22"/>
                <w:szCs w:val="22"/>
              </w:rPr>
              <w:t>排水及内涝防治设计重现期下，外排径流峰值流量不得超过开发建设前或更新改造前原有径流峰值流量；</w:t>
            </w:r>
          </w:p>
          <w:p>
            <w:pPr>
              <w:adjustRightInd w:val="0"/>
              <w:snapToGrid w:val="0"/>
              <w:contextualSpacing/>
              <w:rPr>
                <w:rFonts w:ascii="宋体" w:hAnsi="宋体"/>
                <w:sz w:val="22"/>
                <w:szCs w:val="22"/>
              </w:rPr>
            </w:pPr>
            <w:r>
              <w:rPr>
                <w:rFonts w:hint="eastAsia"/>
                <w:sz w:val="22"/>
                <w:szCs w:val="22"/>
              </w:rPr>
              <w:t>（</w:t>
            </w:r>
            <w:r>
              <w:rPr>
                <w:sz w:val="22"/>
                <w:szCs w:val="22"/>
              </w:rPr>
              <w:t>4）</w:t>
            </w:r>
            <w:r>
              <w:rPr>
                <w:rFonts w:hint="eastAsia"/>
                <w:sz w:val="22"/>
                <w:szCs w:val="22"/>
              </w:rPr>
              <w:t>可渗透地面率不得低于</w:t>
            </w:r>
            <w:r>
              <w:rPr>
                <w:sz w:val="22"/>
                <w:szCs w:val="22"/>
              </w:rPr>
              <w:t>70%</w:t>
            </w:r>
          </w:p>
        </w:tc>
        <w:tc>
          <w:tcPr>
            <w:tcW w:w="1134" w:type="dxa"/>
            <w:vMerge w:val="restart"/>
            <w:vAlign w:val="center"/>
          </w:tcPr>
          <w:p>
            <w:pPr>
              <w:adjustRightInd w:val="0"/>
              <w:snapToGrid w:val="0"/>
              <w:contextualSpacing/>
              <w:jc w:val="center"/>
              <w:rPr>
                <w:sz w:val="22"/>
                <w:szCs w:val="22"/>
              </w:rPr>
            </w:pPr>
            <w:r>
              <w:rPr>
                <w:rFonts w:hint="eastAsia"/>
                <w:sz w:val="22"/>
                <w:szCs w:val="22"/>
              </w:rPr>
              <w:t>本标准</w:t>
            </w:r>
            <w:r>
              <w:rPr>
                <w:sz w:val="22"/>
                <w:szCs w:val="22"/>
              </w:rPr>
              <w:t>5.4</w:t>
            </w:r>
          </w:p>
          <w:p>
            <w:pPr>
              <w:adjustRightInd w:val="0"/>
              <w:snapToGrid w:val="0"/>
              <w:contextualSpacing/>
              <w:jc w:val="center"/>
              <w:rPr>
                <w:sz w:val="22"/>
                <w:szCs w:val="22"/>
              </w:rPr>
            </w:pPr>
          </w:p>
          <w:p>
            <w:pPr>
              <w:adjustRightInd w:val="0"/>
              <w:snapToGrid w:val="0"/>
              <w:contextualSpacing/>
              <w:jc w:val="center"/>
              <w:rPr>
                <w:sz w:val="22"/>
                <w:szCs w:val="22"/>
              </w:rPr>
            </w:pPr>
          </w:p>
          <w:p>
            <w:pPr>
              <w:adjustRightInd w:val="0"/>
              <w:snapToGrid w:val="0"/>
              <w:contextualSpacing/>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 w:hRule="atLeast"/>
          <w:jc w:val="center"/>
        </w:trPr>
        <w:tc>
          <w:tcPr>
            <w:tcW w:w="988" w:type="dxa"/>
            <w:vMerge w:val="continue"/>
            <w:vAlign w:val="center"/>
          </w:tcPr>
          <w:p>
            <w:pPr>
              <w:adjustRightInd w:val="0"/>
              <w:snapToGrid w:val="0"/>
              <w:contextualSpacing/>
              <w:rPr>
                <w:sz w:val="22"/>
                <w:szCs w:val="22"/>
              </w:rPr>
            </w:pPr>
          </w:p>
        </w:tc>
        <w:tc>
          <w:tcPr>
            <w:tcW w:w="1559" w:type="dxa"/>
            <w:vAlign w:val="center"/>
          </w:tcPr>
          <w:p>
            <w:pPr>
              <w:adjustRightInd w:val="0"/>
              <w:snapToGrid w:val="0"/>
              <w:contextualSpacing/>
              <w:rPr>
                <w:sz w:val="22"/>
                <w:szCs w:val="22"/>
              </w:rPr>
            </w:pPr>
            <w:r>
              <w:rPr>
                <w:rFonts w:hint="eastAsia"/>
                <w:sz w:val="22"/>
                <w:szCs w:val="22"/>
              </w:rPr>
              <w:t>道路、停车场及广场</w:t>
            </w:r>
          </w:p>
        </w:tc>
        <w:tc>
          <w:tcPr>
            <w:tcW w:w="10631" w:type="dxa"/>
            <w:vAlign w:val="center"/>
          </w:tcPr>
          <w:p>
            <w:pPr>
              <w:adjustRightInd w:val="0"/>
              <w:snapToGrid w:val="0"/>
              <w:contextualSpacing/>
              <w:rPr>
                <w:rFonts w:ascii="宋体" w:hAnsi="宋体"/>
                <w:sz w:val="22"/>
                <w:szCs w:val="22"/>
              </w:rPr>
            </w:pPr>
            <w:r>
              <w:rPr>
                <w:rFonts w:hint="eastAsia" w:ascii="宋体" w:hAnsi="宋体"/>
                <w:sz w:val="22"/>
                <w:szCs w:val="22"/>
              </w:rPr>
              <w:t>（</w:t>
            </w:r>
            <w:r>
              <w:rPr>
                <w:rFonts w:ascii="宋体" w:hAnsi="宋体"/>
                <w:sz w:val="22"/>
                <w:szCs w:val="22"/>
              </w:rPr>
              <w:t>1）</w:t>
            </w:r>
            <w:r>
              <w:rPr>
                <w:rFonts w:hint="eastAsia" w:ascii="宋体" w:hAnsi="宋体"/>
                <w:sz w:val="22"/>
                <w:szCs w:val="22"/>
              </w:rPr>
              <w:t>道路：对径流污染进行控制并达到规划设计要求；对具有防涝行泄通道功能的道路，应保障其排水行泄功能；</w:t>
            </w:r>
          </w:p>
          <w:p>
            <w:pPr>
              <w:adjustRightInd w:val="0"/>
              <w:snapToGrid w:val="0"/>
              <w:contextualSpacing/>
              <w:rPr>
                <w:rFonts w:ascii="宋体" w:hAnsi="宋体"/>
                <w:sz w:val="22"/>
                <w:szCs w:val="22"/>
              </w:rPr>
            </w:pPr>
            <w:r>
              <w:rPr>
                <w:rFonts w:hint="eastAsia" w:ascii="宋体" w:hAnsi="宋体"/>
                <w:sz w:val="22"/>
                <w:szCs w:val="22"/>
              </w:rPr>
              <w:t>（</w:t>
            </w:r>
            <w:r>
              <w:rPr>
                <w:rFonts w:ascii="宋体" w:hAnsi="宋体"/>
                <w:sz w:val="22"/>
                <w:szCs w:val="22"/>
              </w:rPr>
              <w:t>2）</w:t>
            </w:r>
            <w:r>
              <w:rPr>
                <w:rFonts w:hint="eastAsia" w:ascii="宋体" w:hAnsi="宋体"/>
                <w:sz w:val="22"/>
                <w:szCs w:val="22"/>
              </w:rPr>
              <w:t>停车场与广场：</w:t>
            </w:r>
          </w:p>
          <w:p>
            <w:pPr>
              <w:adjustRightInd w:val="0"/>
              <w:snapToGrid w:val="0"/>
              <w:contextualSpacing/>
              <w:rPr>
                <w:rFonts w:ascii="宋体" w:hAnsi="宋体"/>
                <w:sz w:val="22"/>
                <w:szCs w:val="22"/>
              </w:rPr>
            </w:pPr>
            <w:r>
              <w:rPr>
                <w:rFonts w:hint="eastAsia" w:ascii="宋体" w:hAnsi="宋体"/>
                <w:sz w:val="22"/>
                <w:szCs w:val="22"/>
              </w:rPr>
              <w:t>①雨水年径流总量控制率及径流体积（海绵体）控制：新建项目不应低于“我国雨水年径流总量控制率分区图”所在区域规定下限值，及其所对应计算的径流体积；改扩建项目经技术经济比较，不宜低于“我国雨水年径流总量控制率分区图”所在区域规定下限值，及其所对应计算的径流体积；</w:t>
            </w:r>
          </w:p>
          <w:p>
            <w:pPr>
              <w:adjustRightInd w:val="0"/>
              <w:snapToGrid w:val="0"/>
              <w:contextualSpacing/>
              <w:rPr>
                <w:rFonts w:ascii="宋体" w:hAnsi="宋体"/>
                <w:sz w:val="22"/>
                <w:szCs w:val="22"/>
              </w:rPr>
            </w:pPr>
            <w:r>
              <w:rPr>
                <w:rFonts w:hint="eastAsia" w:ascii="宋体" w:hAnsi="宋体"/>
                <w:sz w:val="22"/>
                <w:szCs w:val="22"/>
              </w:rPr>
              <w:t>②径流污染控制：新建项目</w:t>
            </w:r>
            <w:r>
              <w:rPr>
                <w:sz w:val="22"/>
                <w:szCs w:val="22"/>
              </w:rPr>
              <w:t>雨水年径流污染物</w:t>
            </w:r>
            <w:r>
              <w:rPr>
                <w:rFonts w:hint="eastAsia" w:ascii="宋体" w:hAnsi="宋体"/>
                <w:sz w:val="22"/>
                <w:szCs w:val="22"/>
              </w:rPr>
              <w:t>总量</w:t>
            </w:r>
            <w:r>
              <w:rPr>
                <w:rFonts w:hint="eastAsia"/>
                <w:sz w:val="22"/>
                <w:szCs w:val="22"/>
              </w:rPr>
              <w:t>（以SS计）</w:t>
            </w:r>
            <w:r>
              <w:rPr>
                <w:rFonts w:hint="eastAsia" w:ascii="宋体" w:hAnsi="宋体"/>
                <w:sz w:val="22"/>
                <w:szCs w:val="22"/>
              </w:rPr>
              <w:t>削减率不低于7</w:t>
            </w:r>
            <w:r>
              <w:rPr>
                <w:rFonts w:ascii="宋体" w:hAnsi="宋体"/>
                <w:sz w:val="22"/>
                <w:szCs w:val="22"/>
              </w:rPr>
              <w:t>0%</w:t>
            </w:r>
            <w:r>
              <w:rPr>
                <w:rFonts w:hint="eastAsia" w:ascii="宋体" w:hAnsi="宋体"/>
                <w:sz w:val="22"/>
                <w:szCs w:val="22"/>
              </w:rPr>
              <w:t>，改扩建项目</w:t>
            </w:r>
            <w:r>
              <w:rPr>
                <w:sz w:val="22"/>
                <w:szCs w:val="22"/>
              </w:rPr>
              <w:t>雨水年径流污染物</w:t>
            </w:r>
            <w:r>
              <w:rPr>
                <w:rFonts w:hint="eastAsia" w:ascii="宋体" w:hAnsi="宋体"/>
                <w:sz w:val="22"/>
                <w:szCs w:val="22"/>
              </w:rPr>
              <w:t>总量</w:t>
            </w:r>
            <w:r>
              <w:rPr>
                <w:rFonts w:hint="eastAsia"/>
                <w:sz w:val="22"/>
                <w:szCs w:val="22"/>
              </w:rPr>
              <w:t>（以SS计）</w:t>
            </w:r>
            <w:r>
              <w:rPr>
                <w:rFonts w:hint="eastAsia" w:ascii="宋体" w:hAnsi="宋体"/>
                <w:sz w:val="22"/>
                <w:szCs w:val="22"/>
              </w:rPr>
              <w:t>削减率不低于</w:t>
            </w:r>
            <w:r>
              <w:rPr>
                <w:rFonts w:ascii="宋体" w:hAnsi="宋体"/>
                <w:sz w:val="22"/>
                <w:szCs w:val="22"/>
              </w:rPr>
              <w:t>40%</w:t>
            </w:r>
            <w:r>
              <w:rPr>
                <w:rFonts w:hint="eastAsia" w:ascii="宋体" w:hAnsi="宋体"/>
                <w:sz w:val="22"/>
                <w:szCs w:val="22"/>
              </w:rPr>
              <w:t>；</w:t>
            </w:r>
          </w:p>
          <w:p>
            <w:pPr>
              <w:adjustRightInd w:val="0"/>
              <w:snapToGrid w:val="0"/>
              <w:contextualSpacing/>
              <w:rPr>
                <w:rFonts w:ascii="宋体" w:hAnsi="宋体"/>
                <w:sz w:val="22"/>
                <w:szCs w:val="22"/>
              </w:rPr>
            </w:pPr>
            <w:r>
              <w:rPr>
                <w:rFonts w:hint="eastAsia" w:ascii="宋体" w:hAnsi="宋体"/>
                <w:sz w:val="22"/>
                <w:szCs w:val="22"/>
              </w:rPr>
              <w:t>③径流峰值控制：排水及内涝防治设计重现期下，外排径流峰值流量不得超过</w:t>
            </w:r>
            <w:r>
              <w:rPr>
                <w:rFonts w:hint="eastAsia"/>
                <w:sz w:val="22"/>
                <w:szCs w:val="22"/>
              </w:rPr>
              <w:t>开发建设前或更新改造前</w:t>
            </w:r>
            <w:r>
              <w:rPr>
                <w:rFonts w:hint="eastAsia" w:ascii="宋体" w:hAnsi="宋体"/>
                <w:sz w:val="22"/>
                <w:szCs w:val="22"/>
              </w:rPr>
              <w:t>原有径流峰值流量</w:t>
            </w:r>
          </w:p>
        </w:tc>
        <w:tc>
          <w:tcPr>
            <w:tcW w:w="1134" w:type="dxa"/>
            <w:vMerge w:val="continue"/>
            <w:vAlign w:val="center"/>
          </w:tcPr>
          <w:p>
            <w:pPr>
              <w:adjustRightInd w:val="0"/>
              <w:snapToGrid w:val="0"/>
              <w:contextualSpacing/>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88" w:type="dxa"/>
            <w:vMerge w:val="continue"/>
            <w:vAlign w:val="center"/>
          </w:tcPr>
          <w:p>
            <w:pPr>
              <w:adjustRightInd w:val="0"/>
              <w:snapToGrid w:val="0"/>
              <w:contextualSpacing/>
              <w:rPr>
                <w:sz w:val="22"/>
                <w:szCs w:val="22"/>
              </w:rPr>
            </w:pPr>
          </w:p>
        </w:tc>
        <w:tc>
          <w:tcPr>
            <w:tcW w:w="1559" w:type="dxa"/>
            <w:vAlign w:val="center"/>
          </w:tcPr>
          <w:p>
            <w:pPr>
              <w:adjustRightInd w:val="0"/>
              <w:snapToGrid w:val="0"/>
              <w:contextualSpacing/>
              <w:rPr>
                <w:sz w:val="22"/>
                <w:szCs w:val="22"/>
              </w:rPr>
            </w:pPr>
            <w:r>
              <w:rPr>
                <w:rFonts w:hint="eastAsia"/>
                <w:sz w:val="22"/>
                <w:szCs w:val="22"/>
              </w:rPr>
              <w:t>公园与防护绿地</w:t>
            </w:r>
          </w:p>
        </w:tc>
        <w:tc>
          <w:tcPr>
            <w:tcW w:w="10631" w:type="dxa"/>
            <w:vAlign w:val="center"/>
          </w:tcPr>
          <w:p>
            <w:pPr>
              <w:adjustRightInd w:val="0"/>
              <w:snapToGrid w:val="0"/>
              <w:contextualSpacing/>
              <w:rPr>
                <w:sz w:val="22"/>
                <w:szCs w:val="22"/>
              </w:rPr>
            </w:pPr>
            <w:r>
              <w:rPr>
                <w:rFonts w:hint="eastAsia" w:ascii="宋体" w:hAnsi="宋体"/>
                <w:sz w:val="22"/>
                <w:szCs w:val="22"/>
              </w:rPr>
              <w:t>（</w:t>
            </w:r>
            <w:r>
              <w:rPr>
                <w:rFonts w:ascii="宋体" w:hAnsi="宋体"/>
                <w:sz w:val="22"/>
                <w:szCs w:val="22"/>
              </w:rPr>
              <w:t>1）</w:t>
            </w:r>
            <w:r>
              <w:rPr>
                <w:rFonts w:hint="eastAsia" w:ascii="宋体" w:hAnsi="宋体"/>
                <w:sz w:val="22"/>
                <w:szCs w:val="22"/>
              </w:rPr>
              <w:t>控制的径流体积不得低于雨水年径流总量控制率</w:t>
            </w:r>
            <w:r>
              <w:rPr>
                <w:sz w:val="22"/>
                <w:szCs w:val="22"/>
              </w:rPr>
              <w:t>90%</w:t>
            </w:r>
            <w:r>
              <w:rPr>
                <w:rFonts w:hint="eastAsia"/>
                <w:sz w:val="22"/>
                <w:szCs w:val="22"/>
              </w:rPr>
              <w:t>对应计算的径流体积</w:t>
            </w:r>
            <w:r>
              <w:rPr>
                <w:sz w:val="22"/>
                <w:szCs w:val="22"/>
              </w:rPr>
              <w:t>；</w:t>
            </w:r>
          </w:p>
          <w:p>
            <w:pPr>
              <w:adjustRightInd w:val="0"/>
              <w:snapToGrid w:val="0"/>
              <w:contextualSpacing/>
              <w:rPr>
                <w:rFonts w:ascii="宋体" w:hAnsi="宋体"/>
                <w:sz w:val="22"/>
                <w:szCs w:val="22"/>
              </w:rPr>
            </w:pPr>
            <w:r>
              <w:rPr>
                <w:rFonts w:hint="eastAsia"/>
                <w:sz w:val="22"/>
                <w:szCs w:val="22"/>
              </w:rPr>
              <w:t>（</w:t>
            </w:r>
            <w:r>
              <w:rPr>
                <w:sz w:val="22"/>
                <w:szCs w:val="22"/>
              </w:rPr>
              <w:t>2）</w:t>
            </w:r>
            <w:r>
              <w:rPr>
                <w:rFonts w:hint="eastAsia"/>
                <w:sz w:val="22"/>
                <w:szCs w:val="22"/>
              </w:rPr>
              <w:t>接纳周边区域雨水径流并达到规划设计要求</w:t>
            </w:r>
          </w:p>
        </w:tc>
        <w:tc>
          <w:tcPr>
            <w:tcW w:w="1134" w:type="dxa"/>
            <w:vMerge w:val="continue"/>
            <w:vAlign w:val="center"/>
          </w:tcPr>
          <w:p>
            <w:pPr>
              <w:adjustRightInd w:val="0"/>
              <w:snapToGrid w:val="0"/>
              <w:contextualSpacing/>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547" w:type="dxa"/>
            <w:gridSpan w:val="2"/>
            <w:vAlign w:val="center"/>
          </w:tcPr>
          <w:p>
            <w:pPr>
              <w:adjustRightInd w:val="0"/>
              <w:snapToGrid w:val="0"/>
              <w:contextualSpacing/>
              <w:jc w:val="left"/>
              <w:rPr>
                <w:b/>
                <w:sz w:val="22"/>
                <w:szCs w:val="22"/>
              </w:rPr>
            </w:pPr>
            <w:r>
              <w:rPr>
                <w:sz w:val="22"/>
                <w:szCs w:val="22"/>
              </w:rPr>
              <w:t>5、</w:t>
            </w:r>
            <w:r>
              <w:rPr>
                <w:rFonts w:hint="eastAsia"/>
                <w:sz w:val="22"/>
                <w:szCs w:val="22"/>
              </w:rPr>
              <w:t>自然生态格局管控与城市水体生态岸线保护</w:t>
            </w:r>
          </w:p>
        </w:tc>
        <w:tc>
          <w:tcPr>
            <w:tcW w:w="10631" w:type="dxa"/>
            <w:vAlign w:val="center"/>
          </w:tcPr>
          <w:p>
            <w:pPr>
              <w:adjustRightInd w:val="0"/>
              <w:snapToGrid w:val="0"/>
              <w:contextualSpacing/>
              <w:jc w:val="left"/>
              <w:rPr>
                <w:rFonts w:ascii="宋体" w:hAnsi="宋体"/>
                <w:sz w:val="22"/>
                <w:szCs w:val="22"/>
              </w:rPr>
            </w:pPr>
            <w:r>
              <w:rPr>
                <w:rFonts w:hint="eastAsia" w:ascii="宋体" w:hAnsi="宋体"/>
                <w:sz w:val="22"/>
                <w:szCs w:val="22"/>
              </w:rPr>
              <w:t>（</w:t>
            </w:r>
            <w:r>
              <w:rPr>
                <w:rFonts w:ascii="宋体" w:hAnsi="宋体"/>
                <w:sz w:val="22"/>
                <w:szCs w:val="22"/>
              </w:rPr>
              <w:t>1）</w:t>
            </w:r>
            <w:r>
              <w:rPr>
                <w:rFonts w:hint="eastAsia" w:ascii="宋体" w:hAnsi="宋体"/>
                <w:sz w:val="22"/>
                <w:szCs w:val="22"/>
              </w:rPr>
              <w:t>城市开发建设前后天然水域面积不宜改变，保护并最大程度恢复自然地形地貌和山水格局，不侵占天然行洪通道、洪泛区和湿地、林地、草地等生态敏感区；或达到相关规划的蓝绿线、生态红线等管控要求；</w:t>
            </w:r>
          </w:p>
          <w:p>
            <w:pPr>
              <w:adjustRightInd w:val="0"/>
              <w:snapToGrid w:val="0"/>
              <w:contextualSpacing/>
              <w:jc w:val="left"/>
              <w:rPr>
                <w:rFonts w:ascii="宋体" w:hAnsi="宋体"/>
                <w:b/>
                <w:sz w:val="22"/>
                <w:szCs w:val="22"/>
              </w:rPr>
            </w:pPr>
            <w:r>
              <w:rPr>
                <w:rFonts w:hint="eastAsia" w:ascii="宋体" w:hAnsi="宋体"/>
                <w:sz w:val="22"/>
                <w:szCs w:val="22"/>
              </w:rPr>
              <w:t>（</w:t>
            </w:r>
            <w:r>
              <w:rPr>
                <w:rFonts w:ascii="宋体" w:hAnsi="宋体"/>
                <w:sz w:val="22"/>
                <w:szCs w:val="22"/>
              </w:rPr>
              <w:t>2）</w:t>
            </w:r>
            <w:r>
              <w:rPr>
                <w:rFonts w:hint="eastAsia" w:ascii="宋体" w:hAnsi="宋体"/>
                <w:sz w:val="22"/>
                <w:szCs w:val="22"/>
              </w:rPr>
              <w:t>城市规划区内除码头等生产岸线及必要的防洪岸线外，新建、改建、扩建城市水体的生态岸线率不宜低于</w:t>
            </w:r>
            <w:r>
              <w:rPr>
                <w:rFonts w:ascii="宋体" w:hAnsi="宋体"/>
                <w:sz w:val="22"/>
                <w:szCs w:val="22"/>
              </w:rPr>
              <w:t>70%</w:t>
            </w:r>
          </w:p>
        </w:tc>
        <w:tc>
          <w:tcPr>
            <w:tcW w:w="1134" w:type="dxa"/>
            <w:vAlign w:val="center"/>
          </w:tcPr>
          <w:p>
            <w:pPr>
              <w:adjustRightInd w:val="0"/>
              <w:snapToGrid w:val="0"/>
              <w:contextualSpacing/>
              <w:jc w:val="center"/>
              <w:rPr>
                <w:b/>
                <w:sz w:val="22"/>
                <w:szCs w:val="22"/>
              </w:rPr>
            </w:pPr>
            <w:r>
              <w:rPr>
                <w:rFonts w:hint="eastAsia"/>
                <w:sz w:val="22"/>
                <w:szCs w:val="22"/>
              </w:rPr>
              <w:t>本标准</w:t>
            </w:r>
            <w:r>
              <w:rPr>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2547" w:type="dxa"/>
            <w:gridSpan w:val="2"/>
            <w:vAlign w:val="center"/>
          </w:tcPr>
          <w:p>
            <w:pPr>
              <w:adjustRightInd w:val="0"/>
              <w:snapToGrid w:val="0"/>
              <w:contextualSpacing/>
              <w:rPr>
                <w:sz w:val="22"/>
                <w:szCs w:val="22"/>
              </w:rPr>
            </w:pPr>
            <w:r>
              <w:rPr>
                <w:sz w:val="22"/>
                <w:szCs w:val="22"/>
              </w:rPr>
              <w:t>6</w:t>
            </w:r>
            <w:r>
              <w:rPr>
                <w:rFonts w:hint="eastAsia"/>
                <w:sz w:val="22"/>
                <w:szCs w:val="22"/>
              </w:rPr>
              <w:t>、地下水埋深变化趋势</w:t>
            </w:r>
          </w:p>
        </w:tc>
        <w:tc>
          <w:tcPr>
            <w:tcW w:w="10631" w:type="dxa"/>
            <w:vAlign w:val="center"/>
          </w:tcPr>
          <w:p>
            <w:pPr>
              <w:adjustRightInd w:val="0"/>
              <w:snapToGrid w:val="0"/>
              <w:contextualSpacing/>
              <w:rPr>
                <w:rFonts w:ascii="宋体" w:hAnsi="宋体"/>
                <w:sz w:val="22"/>
                <w:szCs w:val="22"/>
              </w:rPr>
            </w:pPr>
            <w:r>
              <w:rPr>
                <w:rFonts w:hint="eastAsia" w:ascii="宋体" w:hAnsi="宋体"/>
                <w:sz w:val="22"/>
                <w:szCs w:val="22"/>
              </w:rPr>
              <w:t>年均地下水潜水位下降趋势得到明显遏制</w:t>
            </w:r>
          </w:p>
        </w:tc>
        <w:tc>
          <w:tcPr>
            <w:tcW w:w="1134" w:type="dxa"/>
            <w:vAlign w:val="center"/>
          </w:tcPr>
          <w:p>
            <w:pPr>
              <w:adjustRightInd w:val="0"/>
              <w:snapToGrid w:val="0"/>
              <w:contextualSpacing/>
              <w:jc w:val="center"/>
              <w:rPr>
                <w:sz w:val="22"/>
                <w:szCs w:val="22"/>
              </w:rPr>
            </w:pPr>
            <w:r>
              <w:rPr>
                <w:rFonts w:hint="eastAsia"/>
                <w:sz w:val="22"/>
                <w:szCs w:val="22"/>
              </w:rPr>
              <w:t>本标准</w:t>
            </w:r>
            <w:r>
              <w:rPr>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547" w:type="dxa"/>
            <w:gridSpan w:val="2"/>
            <w:vAlign w:val="center"/>
          </w:tcPr>
          <w:p>
            <w:pPr>
              <w:adjustRightInd w:val="0"/>
              <w:snapToGrid w:val="0"/>
              <w:contextualSpacing/>
              <w:rPr>
                <w:sz w:val="22"/>
                <w:szCs w:val="22"/>
              </w:rPr>
            </w:pPr>
            <w:r>
              <w:rPr>
                <w:sz w:val="22"/>
                <w:szCs w:val="22"/>
              </w:rPr>
              <w:t>7</w:t>
            </w:r>
            <w:r>
              <w:rPr>
                <w:rFonts w:hint="eastAsia"/>
                <w:sz w:val="22"/>
                <w:szCs w:val="22"/>
              </w:rPr>
              <w:t>、城市热岛效应缓解</w:t>
            </w:r>
          </w:p>
        </w:tc>
        <w:tc>
          <w:tcPr>
            <w:tcW w:w="10631" w:type="dxa"/>
            <w:vAlign w:val="center"/>
          </w:tcPr>
          <w:p>
            <w:pPr>
              <w:adjustRightInd w:val="0"/>
              <w:snapToGrid w:val="0"/>
              <w:contextualSpacing/>
              <w:rPr>
                <w:rFonts w:ascii="宋体" w:hAnsi="宋体"/>
                <w:sz w:val="22"/>
                <w:szCs w:val="22"/>
              </w:rPr>
            </w:pPr>
            <w:r>
              <w:rPr>
                <w:rFonts w:hint="eastAsia" w:ascii="宋体" w:hAnsi="宋体"/>
                <w:sz w:val="22"/>
                <w:szCs w:val="22"/>
              </w:rPr>
              <w:t>夏</w:t>
            </w:r>
            <w:r>
              <w:rPr>
                <w:rFonts w:hint="eastAsia"/>
                <w:sz w:val="22"/>
                <w:szCs w:val="22"/>
              </w:rPr>
              <w:t>季（按</w:t>
            </w:r>
            <w:r>
              <w:rPr>
                <w:sz w:val="22"/>
                <w:szCs w:val="22"/>
              </w:rPr>
              <w:t>6~9</w:t>
            </w:r>
            <w:r>
              <w:rPr>
                <w:rFonts w:hint="eastAsia"/>
                <w:sz w:val="22"/>
                <w:szCs w:val="22"/>
              </w:rPr>
              <w:t>月</w:t>
            </w:r>
            <w:r>
              <w:rPr>
                <w:rFonts w:ascii="宋体" w:hAnsi="宋体"/>
                <w:sz w:val="22"/>
                <w:szCs w:val="22"/>
              </w:rPr>
              <w:t>）</w:t>
            </w:r>
            <w:r>
              <w:rPr>
                <w:rFonts w:hint="eastAsia" w:ascii="宋体" w:hAnsi="宋体"/>
                <w:sz w:val="22"/>
                <w:szCs w:val="22"/>
              </w:rPr>
              <w:t>城郊日平均温差与历史同期（扣除自然气温变化影响）相比呈现下降趋势</w:t>
            </w:r>
          </w:p>
        </w:tc>
        <w:tc>
          <w:tcPr>
            <w:tcW w:w="1134" w:type="dxa"/>
            <w:vAlign w:val="center"/>
          </w:tcPr>
          <w:p>
            <w:pPr>
              <w:adjustRightInd w:val="0"/>
              <w:snapToGrid w:val="0"/>
              <w:contextualSpacing/>
              <w:jc w:val="center"/>
              <w:rPr>
                <w:sz w:val="22"/>
                <w:szCs w:val="22"/>
              </w:rPr>
            </w:pPr>
            <w:r>
              <w:rPr>
                <w:rFonts w:hint="eastAsia"/>
                <w:sz w:val="22"/>
                <w:szCs w:val="22"/>
              </w:rPr>
              <w:t>本标准</w:t>
            </w:r>
            <w:r>
              <w:rPr>
                <w:sz w:val="22"/>
                <w:szCs w:val="22"/>
              </w:rPr>
              <w:t>5.7</w:t>
            </w:r>
          </w:p>
        </w:tc>
      </w:tr>
    </w:tbl>
    <w:p>
      <w:pPr>
        <w:spacing w:line="360" w:lineRule="auto"/>
        <w:jc w:val="center"/>
        <w:rPr>
          <w:rFonts w:eastAsia="黑体"/>
          <w:sz w:val="24"/>
          <w:szCs w:val="28"/>
        </w:rPr>
      </w:pPr>
    </w:p>
    <w:p>
      <w:pPr>
        <w:sectPr>
          <w:pgSz w:w="16838" w:h="11906" w:orient="landscape"/>
          <w:pgMar w:top="1800" w:right="1440" w:bottom="1800" w:left="1440" w:header="851" w:footer="992" w:gutter="0"/>
          <w:cols w:space="425" w:num="1"/>
          <w:docGrid w:type="lines" w:linePitch="312" w:charSpace="0"/>
        </w:sectPr>
      </w:pPr>
    </w:p>
    <w:p>
      <w:pPr>
        <w:spacing w:line="360" w:lineRule="auto"/>
        <w:rPr>
          <w:sz w:val="24"/>
          <w:szCs w:val="28"/>
        </w:rPr>
      </w:pPr>
      <w:r>
        <w:rPr>
          <w:rFonts w:hint="eastAsia"/>
          <w:sz w:val="24"/>
          <w:szCs w:val="28"/>
        </w:rPr>
        <w:t>【条文说明】规定了具体评价内容与评价要求。</w:t>
      </w:r>
    </w:p>
    <w:p>
      <w:pPr>
        <w:spacing w:line="360" w:lineRule="auto"/>
        <w:rPr>
          <w:sz w:val="24"/>
          <w:szCs w:val="28"/>
        </w:rPr>
      </w:pPr>
      <w:r>
        <w:rPr>
          <w:sz w:val="24"/>
          <w:szCs w:val="28"/>
        </w:rPr>
        <w:t xml:space="preserve">    </w:t>
      </w:r>
      <w:r>
        <w:rPr>
          <w:rFonts w:hint="eastAsia"/>
          <w:sz w:val="24"/>
          <w:szCs w:val="28"/>
        </w:rPr>
        <w:t>通过恢复自然径流过程，来实现海绵城市建设的目标。自然径流过程的评价主要从径流体积（海绵体）、峰值流量、频率、水质等四方面来进行，也是海绵城市建设评价的主要内容。</w:t>
      </w:r>
    </w:p>
    <w:p>
      <w:pPr>
        <w:snapToGrid w:val="0"/>
        <w:spacing w:after="0" w:line="360" w:lineRule="auto"/>
        <w:contextualSpacing/>
        <w:rPr>
          <w:sz w:val="24"/>
          <w:szCs w:val="28"/>
        </w:rPr>
      </w:pPr>
      <w:r>
        <w:rPr>
          <w:sz w:val="24"/>
          <w:szCs w:val="28"/>
        </w:rPr>
        <w:t>1</w:t>
      </w:r>
      <w:r>
        <w:rPr>
          <w:rFonts w:hint="eastAsia"/>
          <w:sz w:val="24"/>
          <w:szCs w:val="28"/>
        </w:rPr>
        <w:t>、雨水年径流总量控制率及其径流体积（海绵体）控制</w:t>
      </w:r>
    </w:p>
    <w:p>
      <w:pPr>
        <w:snapToGrid w:val="0"/>
        <w:spacing w:after="0" w:line="360" w:lineRule="auto"/>
        <w:ind w:firstLine="480" w:firstLineChars="200"/>
        <w:contextualSpacing/>
        <w:rPr>
          <w:sz w:val="24"/>
          <w:szCs w:val="28"/>
        </w:rPr>
      </w:pPr>
      <w:r>
        <w:rPr>
          <w:rFonts w:hint="eastAsia"/>
          <w:sz w:val="24"/>
          <w:szCs w:val="28"/>
        </w:rPr>
        <w:t>雨水年径流总量控制率是海绵城市建设径流体积控制设计的重要参数，其确定方法与应用见附录。</w:t>
      </w:r>
    </w:p>
    <w:p>
      <w:pPr>
        <w:snapToGrid w:val="0"/>
        <w:spacing w:after="0" w:line="360" w:lineRule="auto"/>
        <w:ind w:firstLine="480" w:firstLineChars="200"/>
        <w:contextualSpacing/>
        <w:rPr>
          <w:sz w:val="24"/>
          <w:szCs w:val="28"/>
        </w:rPr>
      </w:pPr>
      <w:r>
        <w:rPr>
          <w:rFonts w:hint="eastAsia"/>
          <w:sz w:val="24"/>
          <w:szCs w:val="28"/>
        </w:rPr>
        <w:t>城市新建区应以维系生态本底条件下的水文特征为原则确定径流体积控制目标；城市建成区应以解决城市积水和内涝、径流污染等问题为出发点，根据改扩建条件，经技术经济比较确定径流体积控制规模，有条件的建成区，在以问题为导向的基础上，参照新建区标准确定径流体积控制目标，最大限度的维系生态本底条件下的水文特征。</w:t>
      </w:r>
    </w:p>
    <w:p>
      <w:pPr>
        <w:snapToGrid w:val="0"/>
        <w:spacing w:after="0" w:line="360" w:lineRule="auto"/>
        <w:contextualSpacing/>
        <w:rPr>
          <w:sz w:val="24"/>
          <w:szCs w:val="28"/>
        </w:rPr>
      </w:pPr>
      <w:r>
        <w:rPr>
          <w:sz w:val="24"/>
          <w:szCs w:val="28"/>
        </w:rPr>
        <w:t>2</w:t>
      </w:r>
      <w:r>
        <w:rPr>
          <w:rFonts w:hint="eastAsia"/>
          <w:sz w:val="24"/>
          <w:szCs w:val="28"/>
        </w:rPr>
        <w:t>、路面积水与内涝防治</w:t>
      </w:r>
    </w:p>
    <w:p>
      <w:pPr>
        <w:snapToGrid w:val="0"/>
        <w:spacing w:after="0" w:line="360" w:lineRule="auto"/>
        <w:ind w:firstLine="480" w:firstLineChars="200"/>
        <w:contextualSpacing/>
        <w:rPr>
          <w:sz w:val="24"/>
          <w:szCs w:val="28"/>
        </w:rPr>
      </w:pPr>
      <w:r>
        <w:rPr>
          <w:rFonts w:hint="eastAsia"/>
          <w:sz w:val="24"/>
          <w:szCs w:val="28"/>
        </w:rPr>
        <w:t>通过径流控制、源头减排能够达到削减降雨径流峰值和错峰的效果，以缓解管渠的排水、除涝压力，同时也可利用下垫面的滞蓄功能和山水林田湖草的协同效应缓解内涝压力。</w:t>
      </w:r>
    </w:p>
    <w:p>
      <w:pPr>
        <w:snapToGrid w:val="0"/>
        <w:spacing w:after="0" w:line="360" w:lineRule="auto"/>
        <w:ind w:firstLine="480" w:firstLineChars="200"/>
        <w:contextualSpacing/>
        <w:rPr>
          <w:sz w:val="24"/>
          <w:szCs w:val="28"/>
        </w:rPr>
      </w:pPr>
      <w:r>
        <w:rPr>
          <w:rFonts w:hint="eastAsia"/>
          <w:sz w:val="24"/>
          <w:szCs w:val="28"/>
        </w:rPr>
        <w:t>通过海绵城市建设，灰绿结合的措施手段，使城市雨水排水及内涝防治工程设计应符合《室外排水设计规范》（</w:t>
      </w:r>
      <w:r>
        <w:rPr>
          <w:sz w:val="24"/>
          <w:szCs w:val="28"/>
        </w:rPr>
        <w:t>GB 50014</w:t>
      </w:r>
      <w:r>
        <w:rPr>
          <w:rFonts w:hint="eastAsia"/>
          <w:sz w:val="24"/>
          <w:szCs w:val="28"/>
        </w:rPr>
        <w:t>）与《城镇内涝防治技术规范》（</w:t>
      </w:r>
      <w:r>
        <w:rPr>
          <w:sz w:val="24"/>
          <w:szCs w:val="28"/>
        </w:rPr>
        <w:t>GB 51222</w:t>
      </w:r>
      <w:r>
        <w:rPr>
          <w:rFonts w:hint="eastAsia"/>
          <w:sz w:val="24"/>
          <w:szCs w:val="28"/>
        </w:rPr>
        <w:t>）的规定，有效应对与雨水管渠设计重现期、内涝防治设计重现期标准相当的暴雨事件。</w:t>
      </w:r>
    </w:p>
    <w:p>
      <w:pPr>
        <w:snapToGrid w:val="0"/>
        <w:spacing w:after="0" w:line="360" w:lineRule="auto"/>
        <w:contextualSpacing/>
        <w:rPr>
          <w:sz w:val="24"/>
          <w:szCs w:val="28"/>
        </w:rPr>
      </w:pPr>
      <w:r>
        <w:rPr>
          <w:sz w:val="24"/>
          <w:szCs w:val="28"/>
        </w:rPr>
        <w:t>3</w:t>
      </w:r>
      <w:r>
        <w:rPr>
          <w:rFonts w:hint="eastAsia"/>
          <w:sz w:val="24"/>
          <w:szCs w:val="28"/>
        </w:rPr>
        <w:t>、城市水体环境质量</w:t>
      </w:r>
    </w:p>
    <w:p>
      <w:pPr>
        <w:snapToGrid w:val="0"/>
        <w:spacing w:after="0" w:line="360" w:lineRule="auto"/>
        <w:ind w:firstLine="480" w:firstLineChars="200"/>
        <w:contextualSpacing/>
        <w:rPr>
          <w:sz w:val="24"/>
          <w:szCs w:val="28"/>
        </w:rPr>
      </w:pPr>
      <w:r>
        <w:rPr>
          <w:rFonts w:hint="eastAsia"/>
          <w:sz w:val="24"/>
          <w:szCs w:val="28"/>
        </w:rPr>
        <w:t>雨水径流污染是城市水体污染的主要污染源之一，通过海绵城市建设措施对径流污染进行控制，一方面可以缓解径流污染的压力，另一方面也有利于从源头解决管网错接、混接等雨污分流难的问题。</w:t>
      </w:r>
    </w:p>
    <w:p>
      <w:pPr>
        <w:snapToGrid w:val="0"/>
        <w:spacing w:after="0" w:line="360" w:lineRule="auto"/>
        <w:ind w:firstLine="480" w:firstLineChars="200"/>
        <w:contextualSpacing/>
        <w:rPr>
          <w:sz w:val="24"/>
          <w:szCs w:val="28"/>
        </w:rPr>
      </w:pPr>
      <w:r>
        <w:rPr>
          <w:rFonts w:hint="eastAsia"/>
          <w:sz w:val="24"/>
          <w:szCs w:val="28"/>
        </w:rPr>
        <w:t>黑臭水体治理的技术路线：控源截污、内源治理、生态修复、活水保质、长“制”久清，海绵城市建设在控制径流污染与水质净化、岸线生态修复以及活水保质等方面都能发挥其应有的作用，灰绿结合，有利于降低工程造价和运维成本。</w:t>
      </w:r>
    </w:p>
    <w:p>
      <w:pPr>
        <w:snapToGrid w:val="0"/>
        <w:spacing w:after="0" w:line="360" w:lineRule="auto"/>
        <w:ind w:firstLine="480" w:firstLineChars="200"/>
        <w:contextualSpacing/>
        <w:rPr>
          <w:sz w:val="24"/>
          <w:szCs w:val="28"/>
        </w:rPr>
      </w:pPr>
      <w:r>
        <w:rPr>
          <w:rFonts w:hint="eastAsia"/>
          <w:sz w:val="24"/>
          <w:szCs w:val="28"/>
        </w:rPr>
        <w:t>我国不同地区城市降雨特征、合流制管网运行情况、受纳水体水环境容量、溢流污染本底情况等差异较大，合流制溢流污染控制工程经验和数据积累尚不足，本标准在总结美国合流制溢流污染控制经验做法的基础上，结合我国国情，提出合流制溢流污染控制标准。</w:t>
      </w:r>
    </w:p>
    <w:p>
      <w:pPr>
        <w:snapToGrid w:val="0"/>
        <w:spacing w:after="0" w:line="360" w:lineRule="auto"/>
        <w:ind w:firstLine="480" w:firstLineChars="200"/>
        <w:contextualSpacing/>
        <w:rPr>
          <w:sz w:val="24"/>
          <w:szCs w:val="28"/>
        </w:rPr>
      </w:pPr>
      <w:r>
        <w:rPr>
          <w:rFonts w:hint="eastAsia"/>
          <w:sz w:val="24"/>
          <w:szCs w:val="28"/>
        </w:rPr>
        <w:t>美国以调蓄措施为主的合流制溢流污染控制标准主要为年均溢流频次、年均溢流体积削减率；以处理措施为主的控制标准主要为年均溢流污染物</w:t>
      </w:r>
      <w:r>
        <w:rPr>
          <w:sz w:val="24"/>
          <w:szCs w:val="28"/>
        </w:rPr>
        <w:t>SS</w:t>
      </w:r>
      <w:r>
        <w:rPr>
          <w:rFonts w:hint="eastAsia"/>
          <w:sz w:val="24"/>
          <w:szCs w:val="28"/>
        </w:rPr>
        <w:t>总量削减率与浓度排放限值、大肠杆菌浓度排放限值等。美国多个州年均溢流频次控制标准为4~</w:t>
      </w:r>
      <w:r>
        <w:rPr>
          <w:sz w:val="24"/>
          <w:szCs w:val="28"/>
        </w:rPr>
        <w:t>6</w:t>
      </w:r>
      <w:r>
        <w:rPr>
          <w:rFonts w:hint="eastAsia"/>
          <w:sz w:val="24"/>
          <w:szCs w:val="28"/>
        </w:rPr>
        <w:t>次；美国波特兰市年均S</w:t>
      </w:r>
      <w:r>
        <w:rPr>
          <w:sz w:val="24"/>
          <w:szCs w:val="28"/>
        </w:rPr>
        <w:t>S</w:t>
      </w:r>
      <w:r>
        <w:rPr>
          <w:rFonts w:hint="eastAsia"/>
          <w:sz w:val="24"/>
          <w:szCs w:val="28"/>
        </w:rPr>
        <w:t>总量削减率不低于7</w:t>
      </w:r>
      <w:r>
        <w:rPr>
          <w:sz w:val="24"/>
          <w:szCs w:val="28"/>
        </w:rPr>
        <w:t>0</w:t>
      </w:r>
      <w:r>
        <w:rPr>
          <w:rFonts w:hint="eastAsia"/>
          <w:sz w:val="24"/>
          <w:szCs w:val="28"/>
        </w:rPr>
        <w:t>%，月均S</w:t>
      </w:r>
      <w:r>
        <w:rPr>
          <w:sz w:val="24"/>
          <w:szCs w:val="28"/>
        </w:rPr>
        <w:t>S</w:t>
      </w:r>
      <w:r>
        <w:rPr>
          <w:rFonts w:hint="eastAsia"/>
          <w:sz w:val="24"/>
          <w:szCs w:val="28"/>
        </w:rPr>
        <w:t>排放浓度不超过4</w:t>
      </w:r>
      <w:r>
        <w:rPr>
          <w:sz w:val="24"/>
          <w:szCs w:val="28"/>
        </w:rPr>
        <w:t>5</w:t>
      </w:r>
      <w:r>
        <w:rPr>
          <w:rFonts w:hint="eastAsia"/>
          <w:sz w:val="24"/>
          <w:szCs w:val="28"/>
        </w:rPr>
        <w:t>mg</w:t>
      </w:r>
      <w:r>
        <w:rPr>
          <w:sz w:val="24"/>
          <w:szCs w:val="28"/>
        </w:rPr>
        <w:t>/L</w:t>
      </w:r>
      <w:r>
        <w:rPr>
          <w:rFonts w:hint="eastAsia"/>
          <w:sz w:val="24"/>
          <w:szCs w:val="28"/>
        </w:rPr>
        <w:t>，西雅图市年均S</w:t>
      </w:r>
      <w:r>
        <w:rPr>
          <w:sz w:val="24"/>
          <w:szCs w:val="28"/>
        </w:rPr>
        <w:t>S</w:t>
      </w:r>
      <w:r>
        <w:rPr>
          <w:rFonts w:hint="eastAsia"/>
          <w:sz w:val="24"/>
          <w:szCs w:val="28"/>
        </w:rPr>
        <w:t>总量削减率不低于5</w:t>
      </w:r>
      <w:r>
        <w:rPr>
          <w:sz w:val="24"/>
          <w:szCs w:val="28"/>
        </w:rPr>
        <w:t>0</w:t>
      </w:r>
      <w:r>
        <w:rPr>
          <w:rFonts w:hint="eastAsia"/>
          <w:sz w:val="24"/>
          <w:szCs w:val="28"/>
        </w:rPr>
        <w:t>%，年均可沉降悬浮固体（</w:t>
      </w:r>
      <w:r>
        <w:rPr>
          <w:sz w:val="24"/>
          <w:szCs w:val="28"/>
        </w:rPr>
        <w:t>S</w:t>
      </w:r>
      <w:r>
        <w:rPr>
          <w:rFonts w:hint="eastAsia"/>
          <w:sz w:val="24"/>
          <w:szCs w:val="28"/>
        </w:rPr>
        <w:t>ettleable</w:t>
      </w:r>
      <w:r>
        <w:rPr>
          <w:sz w:val="24"/>
          <w:szCs w:val="28"/>
        </w:rPr>
        <w:t xml:space="preserve"> S</w:t>
      </w:r>
      <w:r>
        <w:rPr>
          <w:rFonts w:hint="eastAsia"/>
          <w:sz w:val="24"/>
          <w:szCs w:val="28"/>
        </w:rPr>
        <w:t>olids）排放量不超过0</w:t>
      </w:r>
      <w:r>
        <w:rPr>
          <w:sz w:val="24"/>
          <w:szCs w:val="28"/>
        </w:rPr>
        <w:t>.3</w:t>
      </w:r>
      <w:r>
        <w:rPr>
          <w:rFonts w:hint="eastAsia"/>
          <w:sz w:val="24"/>
          <w:szCs w:val="28"/>
        </w:rPr>
        <w:t>m</w:t>
      </w:r>
      <w:r>
        <w:rPr>
          <w:sz w:val="24"/>
          <w:szCs w:val="28"/>
        </w:rPr>
        <w:t>L</w:t>
      </w:r>
      <w:r>
        <w:rPr>
          <w:rFonts w:hint="eastAsia"/>
          <w:sz w:val="24"/>
          <w:szCs w:val="28"/>
        </w:rPr>
        <w:t>/</w:t>
      </w:r>
      <w:r>
        <w:rPr>
          <w:sz w:val="24"/>
          <w:szCs w:val="28"/>
        </w:rPr>
        <w:t>L/</w:t>
      </w:r>
      <w:r>
        <w:rPr>
          <w:rFonts w:hint="eastAsia"/>
          <w:sz w:val="24"/>
          <w:szCs w:val="28"/>
        </w:rPr>
        <w:t>h，月均大肠杆菌排放浓度不超过4</w:t>
      </w:r>
      <w:r>
        <w:rPr>
          <w:sz w:val="24"/>
          <w:szCs w:val="28"/>
        </w:rPr>
        <w:t>00CFU</w:t>
      </w:r>
      <w:r>
        <w:rPr>
          <w:rFonts w:hint="eastAsia"/>
          <w:sz w:val="24"/>
          <w:szCs w:val="28"/>
        </w:rPr>
        <w:t>/</w:t>
      </w:r>
      <w:r>
        <w:rPr>
          <w:sz w:val="24"/>
          <w:szCs w:val="28"/>
        </w:rPr>
        <w:t>100</w:t>
      </w:r>
      <w:r>
        <w:rPr>
          <w:rFonts w:hint="eastAsia"/>
          <w:sz w:val="24"/>
          <w:szCs w:val="28"/>
        </w:rPr>
        <w:t>m</w:t>
      </w:r>
      <w:r>
        <w:rPr>
          <w:sz w:val="24"/>
          <w:szCs w:val="28"/>
        </w:rPr>
        <w:t>L</w:t>
      </w:r>
      <w:r>
        <w:rPr>
          <w:rFonts w:hint="eastAsia"/>
          <w:sz w:val="24"/>
          <w:szCs w:val="28"/>
        </w:rPr>
        <w:t>。我国南方某海绵城市建设试点城市年均溢流频次控制标准为不超过</w:t>
      </w:r>
      <w:r>
        <w:rPr>
          <w:sz w:val="24"/>
          <w:szCs w:val="28"/>
        </w:rPr>
        <w:t>15</w:t>
      </w:r>
      <w:r>
        <w:rPr>
          <w:rFonts w:hint="eastAsia"/>
          <w:sz w:val="24"/>
          <w:szCs w:val="28"/>
        </w:rPr>
        <w:t>次（控制前年均溢流频次为</w:t>
      </w:r>
      <w:r>
        <w:rPr>
          <w:sz w:val="24"/>
          <w:szCs w:val="28"/>
        </w:rPr>
        <w:t>140</w:t>
      </w:r>
      <w:r>
        <w:rPr>
          <w:rFonts w:hint="eastAsia"/>
          <w:sz w:val="24"/>
          <w:szCs w:val="28"/>
        </w:rPr>
        <w:t>次，削减率约为</w:t>
      </w:r>
      <w:r>
        <w:rPr>
          <w:sz w:val="24"/>
          <w:szCs w:val="28"/>
        </w:rPr>
        <w:t>89%</w:t>
      </w:r>
      <w:r>
        <w:rPr>
          <w:rFonts w:hint="eastAsia"/>
          <w:sz w:val="24"/>
          <w:szCs w:val="28"/>
        </w:rPr>
        <w:t>）。</w:t>
      </w:r>
    </w:p>
    <w:p>
      <w:pPr>
        <w:snapToGrid w:val="0"/>
        <w:spacing w:after="0" w:line="360" w:lineRule="auto"/>
        <w:ind w:firstLine="480" w:firstLineChars="200"/>
        <w:contextualSpacing/>
        <w:rPr>
          <w:sz w:val="24"/>
          <w:szCs w:val="28"/>
        </w:rPr>
      </w:pPr>
      <w:r>
        <w:rPr>
          <w:rFonts w:hint="eastAsia"/>
          <w:sz w:val="24"/>
          <w:szCs w:val="28"/>
        </w:rPr>
        <w:t>除水体不黑臭的基本要求外，通过海绵城市建设，水环境质量应有所改善，但对于雨天，总有极端暴雨导致的合流制溢流污染及分流制径流污染发生，因此，本标准对上下游断面水质变化的要求只针对旱天。</w:t>
      </w:r>
    </w:p>
    <w:p>
      <w:pPr>
        <w:snapToGrid w:val="0"/>
        <w:spacing w:after="0" w:line="360" w:lineRule="auto"/>
        <w:ind w:firstLine="480"/>
        <w:contextualSpacing/>
        <w:rPr>
          <w:sz w:val="24"/>
          <w:szCs w:val="28"/>
        </w:rPr>
      </w:pPr>
      <w:r>
        <w:rPr>
          <w:sz w:val="24"/>
          <w:szCs w:val="28"/>
        </w:rPr>
        <w:t>4</w:t>
      </w:r>
      <w:r>
        <w:rPr>
          <w:rFonts w:hint="eastAsia"/>
          <w:sz w:val="24"/>
          <w:szCs w:val="28"/>
        </w:rPr>
        <w:t>、项目实施有效性</w:t>
      </w:r>
    </w:p>
    <w:p>
      <w:pPr>
        <w:snapToGrid w:val="0"/>
        <w:spacing w:after="0" w:line="360" w:lineRule="auto"/>
        <w:ind w:firstLine="480" w:firstLineChars="200"/>
        <w:contextualSpacing/>
        <w:rPr>
          <w:sz w:val="24"/>
          <w:szCs w:val="28"/>
        </w:rPr>
      </w:pPr>
      <w:r>
        <w:rPr>
          <w:rFonts w:hint="eastAsia"/>
          <w:sz w:val="24"/>
          <w:szCs w:val="28"/>
        </w:rPr>
        <w:t>（1）建筑小区：建筑小区应结合地形地貌进行竖向设计，尽可能采用地面汇流方式恢复或畅通雨水径流，实现“渗、滞、蓄、净、用”径流过程，控制屋面、道路、停车场、广场等的雨水径流。采取断接排水管网和减少排水口的方式，使雨水径流达到控制要求后，溢流排入到市政管网。</w:t>
      </w:r>
    </w:p>
    <w:p>
      <w:pPr>
        <w:snapToGrid w:val="0"/>
        <w:spacing w:after="0" w:line="360" w:lineRule="auto"/>
        <w:ind w:firstLine="480" w:firstLineChars="200"/>
        <w:contextualSpacing/>
        <w:rPr>
          <w:sz w:val="24"/>
          <w:szCs w:val="28"/>
        </w:rPr>
      </w:pPr>
      <w:r>
        <w:rPr>
          <w:rFonts w:hint="eastAsia"/>
          <w:sz w:val="24"/>
          <w:szCs w:val="28"/>
        </w:rPr>
        <w:t>对于湿陷性黄土、地下水位埋深不足</w:t>
      </w:r>
      <w:r>
        <w:rPr>
          <w:sz w:val="24"/>
          <w:szCs w:val="28"/>
        </w:rPr>
        <w:t>2m</w:t>
      </w:r>
      <w:r>
        <w:rPr>
          <w:rFonts w:hint="eastAsia"/>
          <w:sz w:val="24"/>
          <w:szCs w:val="28"/>
        </w:rPr>
        <w:t>、渗透能力不足0</w:t>
      </w:r>
      <w:r>
        <w:rPr>
          <w:sz w:val="24"/>
          <w:szCs w:val="28"/>
        </w:rPr>
        <w:t>.001</w:t>
      </w:r>
      <w:r>
        <w:rPr>
          <w:rFonts w:hint="eastAsia"/>
          <w:sz w:val="24"/>
          <w:szCs w:val="28"/>
        </w:rPr>
        <w:t>m</w:t>
      </w:r>
      <w:r>
        <w:rPr>
          <w:sz w:val="24"/>
          <w:szCs w:val="28"/>
        </w:rPr>
        <w:t>/</w:t>
      </w:r>
      <w:r>
        <w:rPr>
          <w:rFonts w:hint="eastAsia"/>
          <w:sz w:val="24"/>
          <w:szCs w:val="28"/>
        </w:rPr>
        <w:t>d等区域，可渗透地面率指标不做硬性评价。</w:t>
      </w:r>
    </w:p>
    <w:p>
      <w:pPr>
        <w:snapToGrid w:val="0"/>
        <w:spacing w:after="0" w:line="360" w:lineRule="auto"/>
        <w:ind w:firstLine="480" w:firstLineChars="200"/>
        <w:contextualSpacing/>
        <w:rPr>
          <w:sz w:val="24"/>
          <w:szCs w:val="28"/>
        </w:rPr>
      </w:pPr>
      <w:r>
        <w:rPr>
          <w:rFonts w:hint="eastAsia"/>
          <w:sz w:val="24"/>
          <w:szCs w:val="28"/>
        </w:rPr>
        <w:t>（2）道路、停车场及广场：由于硬质铺装较多，是快速形成雨水径流，导致排水集中、内涝和径流污染的重要区域。因此应通过海绵城市建设措施控制径流体积、峰值流量和污染，减轻对城市生态和环境的影响。对于新建项目，应采用除砂和悬浮物、生态处理等多种方式控制道路、停车场及广场雨水径流污染，对于改扩建项目，可参照新建项目要求控制径流污染。</w:t>
      </w:r>
    </w:p>
    <w:p>
      <w:pPr>
        <w:snapToGrid w:val="0"/>
        <w:spacing w:after="0" w:line="360" w:lineRule="auto"/>
        <w:ind w:firstLine="480" w:firstLineChars="200"/>
        <w:contextualSpacing/>
        <w:rPr>
          <w:sz w:val="24"/>
          <w:szCs w:val="28"/>
        </w:rPr>
      </w:pPr>
      <w:r>
        <w:rPr>
          <w:rFonts w:hint="eastAsia"/>
          <w:sz w:val="24"/>
          <w:szCs w:val="28"/>
        </w:rPr>
        <w:t>（3）公园与防护绿地：新建与改扩建项目控制的径流体积不得低于雨水年径流总量控制率9</w:t>
      </w:r>
      <w:r>
        <w:rPr>
          <w:sz w:val="24"/>
          <w:szCs w:val="28"/>
        </w:rPr>
        <w:t>0</w:t>
      </w:r>
      <w:r>
        <w:rPr>
          <w:rFonts w:hint="eastAsia"/>
          <w:sz w:val="24"/>
          <w:szCs w:val="28"/>
        </w:rPr>
        <w:t>%对应计算的径流体积。除城市建成区内的公园与防护绿地外，还应充分保护和利用湿地公园、郊野公园等区域绿地对区域雨水径流进行管控。山地公园及改扩建公园不具备接纳周边区域雨水径流时，不做硬性评价。</w:t>
      </w:r>
    </w:p>
    <w:p>
      <w:pPr>
        <w:spacing w:line="360" w:lineRule="auto"/>
        <w:rPr>
          <w:sz w:val="24"/>
          <w:szCs w:val="28"/>
        </w:rPr>
      </w:pPr>
      <w:r>
        <w:rPr>
          <w:sz w:val="24"/>
          <w:szCs w:val="28"/>
        </w:rPr>
        <w:t>5</w:t>
      </w:r>
      <w:r>
        <w:rPr>
          <w:rFonts w:hint="eastAsia"/>
          <w:sz w:val="24"/>
          <w:szCs w:val="28"/>
        </w:rPr>
        <w:t>、自然生态格局管控与水体生态岸线</w:t>
      </w:r>
    </w:p>
    <w:p>
      <w:pPr>
        <w:snapToGrid w:val="0"/>
        <w:spacing w:after="0" w:line="360" w:lineRule="auto"/>
        <w:ind w:firstLine="480" w:firstLineChars="200"/>
        <w:contextualSpacing/>
        <w:rPr>
          <w:sz w:val="24"/>
          <w:szCs w:val="28"/>
        </w:rPr>
      </w:pPr>
      <w:r>
        <w:rPr>
          <w:rFonts w:hint="eastAsia"/>
          <w:sz w:val="24"/>
          <w:szCs w:val="28"/>
        </w:rPr>
        <w:t>水体生态岸线可作为城市排水系统末端重要的截污净化空间，此外，生态岸线建设也是水体生态修复的内容之一，生态修复还包括生态基流恢复、生物多样性恢复及其生境营造等复杂的内容，因此，对于生态修复项目，水体生态岸线建设不应过于简单化。</w:t>
      </w:r>
    </w:p>
    <w:p>
      <w:pPr>
        <w:snapToGrid w:val="0"/>
        <w:spacing w:after="0" w:line="360" w:lineRule="auto"/>
        <w:contextualSpacing/>
        <w:rPr>
          <w:sz w:val="24"/>
          <w:szCs w:val="28"/>
        </w:rPr>
      </w:pPr>
      <w:r>
        <w:rPr>
          <w:sz w:val="24"/>
          <w:szCs w:val="28"/>
        </w:rPr>
        <w:t>6</w:t>
      </w:r>
      <w:r>
        <w:rPr>
          <w:rFonts w:hint="eastAsia"/>
          <w:sz w:val="24"/>
          <w:szCs w:val="28"/>
        </w:rPr>
        <w:t>、地下水埋深变化趋势</w:t>
      </w:r>
    </w:p>
    <w:p>
      <w:pPr>
        <w:snapToGrid w:val="0"/>
        <w:spacing w:after="0" w:line="360" w:lineRule="auto"/>
        <w:ind w:firstLine="480" w:firstLineChars="200"/>
        <w:contextualSpacing/>
        <w:rPr>
          <w:sz w:val="24"/>
          <w:szCs w:val="28"/>
        </w:rPr>
      </w:pPr>
      <w:r>
        <w:rPr>
          <w:rFonts w:hint="eastAsia"/>
          <w:sz w:val="24"/>
          <w:szCs w:val="28"/>
        </w:rPr>
        <w:t>城市不透水铺装切断了雨水径流通道，减少了雨水的下渗量，导致地下水位下降、地下水补给减少，海绵城市建设可使雨水径流充分回补地下或经处理后回补河道，维系河道基流。</w:t>
      </w:r>
    </w:p>
    <w:p>
      <w:pPr>
        <w:snapToGrid w:val="0"/>
        <w:spacing w:after="0" w:line="360" w:lineRule="auto"/>
        <w:contextualSpacing/>
        <w:rPr>
          <w:sz w:val="24"/>
          <w:szCs w:val="28"/>
        </w:rPr>
      </w:pPr>
      <w:r>
        <w:rPr>
          <w:sz w:val="24"/>
          <w:szCs w:val="28"/>
        </w:rPr>
        <w:t>7</w:t>
      </w:r>
      <w:r>
        <w:rPr>
          <w:rFonts w:hint="eastAsia"/>
          <w:sz w:val="24"/>
          <w:szCs w:val="28"/>
        </w:rPr>
        <w:t>、城市热岛效应</w:t>
      </w:r>
    </w:p>
    <w:p>
      <w:pPr>
        <w:snapToGrid w:val="0"/>
        <w:spacing w:after="0" w:line="360" w:lineRule="auto"/>
        <w:ind w:firstLine="480" w:firstLineChars="200"/>
        <w:contextualSpacing/>
        <w:rPr>
          <w:b/>
          <w:spacing w:val="8"/>
          <w:kern w:val="0"/>
          <w:sz w:val="32"/>
          <w:szCs w:val="32"/>
        </w:rPr>
      </w:pPr>
      <w:r>
        <w:rPr>
          <w:rFonts w:hint="eastAsia"/>
          <w:sz w:val="24"/>
          <w:szCs w:val="28"/>
        </w:rPr>
        <w:t>海绵城市建设通过增加可渗透地面与自然植被、修复水文循环、增加生态基流，对缓解城市热岛效应有重要作用。</w:t>
      </w:r>
      <w:r>
        <w:br w:type="page"/>
      </w:r>
    </w:p>
    <w:p>
      <w:pPr>
        <w:pStyle w:val="2"/>
      </w:pPr>
      <w:bookmarkStart w:id="15" w:name="_Toc517339206"/>
      <w:r>
        <w:t xml:space="preserve">5 </w:t>
      </w:r>
      <w:r>
        <w:rPr>
          <w:rFonts w:hint="eastAsia"/>
        </w:rPr>
        <w:t>评价方法</w:t>
      </w:r>
      <w:bookmarkEnd w:id="15"/>
    </w:p>
    <w:p>
      <w:pPr>
        <w:pStyle w:val="3"/>
        <w:jc w:val="center"/>
        <w:rPr>
          <w:rFonts w:ascii="Times New Roman" w:hAnsi="Times New Roman"/>
          <w:b w:val="0"/>
          <w:sz w:val="30"/>
          <w:szCs w:val="30"/>
        </w:rPr>
      </w:pPr>
      <w:bookmarkStart w:id="16" w:name="_Toc517339207"/>
      <w:bookmarkStart w:id="17" w:name="_Hlk512417474"/>
      <w:r>
        <w:rPr>
          <w:rFonts w:ascii="Times New Roman" w:hAnsi="Times New Roman"/>
          <w:b w:val="0"/>
          <w:sz w:val="30"/>
          <w:szCs w:val="30"/>
        </w:rPr>
        <w:t xml:space="preserve">5.1 </w:t>
      </w:r>
      <w:r>
        <w:rPr>
          <w:rFonts w:hint="eastAsia" w:ascii="Times New Roman" w:hAnsi="Times New Roman"/>
          <w:b w:val="0"/>
          <w:sz w:val="30"/>
          <w:szCs w:val="30"/>
        </w:rPr>
        <w:t>雨水年径流总量控制率及其径流体积（海绵体）控制</w:t>
      </w:r>
      <w:bookmarkEnd w:id="16"/>
    </w:p>
    <w:p>
      <w:pPr>
        <w:snapToGrid w:val="0"/>
        <w:spacing w:after="0" w:line="360" w:lineRule="auto"/>
        <w:contextualSpacing/>
        <w:rPr>
          <w:b/>
          <w:sz w:val="28"/>
          <w:szCs w:val="28"/>
        </w:rPr>
      </w:pPr>
      <w:r>
        <w:rPr>
          <w:b/>
          <w:sz w:val="28"/>
          <w:szCs w:val="28"/>
        </w:rPr>
        <w:t>5.1.1</w:t>
      </w:r>
      <w:r>
        <w:rPr>
          <w:rFonts w:hint="eastAsia"/>
          <w:b/>
          <w:sz w:val="28"/>
          <w:szCs w:val="28"/>
        </w:rPr>
        <w:t>径流体积控制评价</w:t>
      </w:r>
    </w:p>
    <w:p>
      <w:pPr>
        <w:snapToGrid w:val="0"/>
        <w:spacing w:after="0" w:line="360" w:lineRule="auto"/>
        <w:ind w:firstLine="563"/>
        <w:contextualSpacing/>
        <w:rPr>
          <w:sz w:val="28"/>
          <w:szCs w:val="28"/>
        </w:rPr>
      </w:pPr>
      <w:r>
        <w:rPr>
          <w:rFonts w:hint="eastAsia"/>
          <w:sz w:val="28"/>
          <w:szCs w:val="28"/>
        </w:rPr>
        <w:t>采用“容积法”，依据雨水年径流总量控制率所对应的设计降雨深度及控制范围，计算得到所需控制的径流体积，现场实际检查各项措施的径流体积控制规模，是否达到设计要求。</w:t>
      </w:r>
    </w:p>
    <w:p>
      <w:pPr>
        <w:snapToGrid w:val="0"/>
        <w:spacing w:after="0" w:line="360" w:lineRule="auto"/>
        <w:ind w:firstLine="560" w:firstLineChars="200"/>
        <w:contextualSpacing/>
        <w:rPr>
          <w:sz w:val="28"/>
          <w:szCs w:val="28"/>
        </w:rPr>
      </w:pPr>
      <w:r>
        <w:rPr>
          <w:rFonts w:hint="eastAsia"/>
          <w:sz w:val="28"/>
          <w:szCs w:val="28"/>
        </w:rPr>
        <w:t>入渗及渗滤设施的径流体积控制规模：</w:t>
      </w:r>
    </w:p>
    <w:p>
      <w:pPr>
        <w:snapToGrid w:val="0"/>
        <w:spacing w:after="0" w:line="360" w:lineRule="auto"/>
        <w:ind w:firstLine="560" w:firstLineChars="200"/>
        <w:contextualSpacing/>
        <w:rPr>
          <w:sz w:val="28"/>
          <w:szCs w:val="28"/>
        </w:rPr>
      </w:pPr>
      <w:r>
        <w:rPr>
          <w:i/>
          <w:sz w:val="28"/>
          <w:szCs w:val="28"/>
        </w:rPr>
        <w:t>V=</w:t>
      </w:r>
      <w:r>
        <w:rPr>
          <w:rFonts w:hint="eastAsia"/>
          <w:sz w:val="28"/>
          <w:szCs w:val="28"/>
        </w:rPr>
        <w:t>设施有效滞蓄容积</w:t>
      </w:r>
      <w:r>
        <w:rPr>
          <w:i/>
          <w:sz w:val="28"/>
          <w:szCs w:val="28"/>
        </w:rPr>
        <w:t>V</w:t>
      </w:r>
      <w:r>
        <w:rPr>
          <w:i/>
          <w:sz w:val="28"/>
          <w:szCs w:val="28"/>
          <w:vertAlign w:val="subscript"/>
        </w:rPr>
        <w:t>s</w:t>
      </w:r>
      <w:r>
        <w:rPr>
          <w:sz w:val="28"/>
          <w:szCs w:val="28"/>
        </w:rPr>
        <w:t>+</w:t>
      </w:r>
      <w:r>
        <w:rPr>
          <w:rFonts w:hint="eastAsia"/>
          <w:sz w:val="28"/>
          <w:szCs w:val="28"/>
        </w:rPr>
        <w:t>设施降雨过程中的入渗量</w:t>
      </w:r>
      <w:r>
        <w:rPr>
          <w:i/>
          <w:sz w:val="28"/>
          <w:szCs w:val="28"/>
        </w:rPr>
        <w:t>W</w:t>
      </w:r>
      <w:r>
        <w:rPr>
          <w:i/>
          <w:sz w:val="28"/>
          <w:szCs w:val="28"/>
          <w:vertAlign w:val="subscript"/>
        </w:rPr>
        <w:t>p</w:t>
      </w:r>
      <w:r>
        <w:rPr>
          <w:rFonts w:hint="eastAsia"/>
          <w:sz w:val="28"/>
          <w:szCs w:val="28"/>
        </w:rPr>
        <w:t>。</w:t>
      </w:r>
    </w:p>
    <w:p>
      <w:pPr>
        <w:autoSpaceDE w:val="0"/>
        <w:autoSpaceDN w:val="0"/>
        <w:snapToGrid w:val="0"/>
        <w:spacing w:after="0" w:line="360" w:lineRule="auto"/>
        <w:ind w:firstLine="560" w:firstLineChars="200"/>
        <w:contextualSpacing/>
        <w:jc w:val="right"/>
        <w:rPr>
          <w:sz w:val="28"/>
          <w:szCs w:val="28"/>
        </w:rPr>
      </w:pPr>
      <w:r>
        <w:rPr>
          <w:i/>
          <w:sz w:val="28"/>
          <w:szCs w:val="28"/>
        </w:rPr>
        <w:t>W</w:t>
      </w:r>
      <w:r>
        <w:rPr>
          <w:i/>
          <w:sz w:val="28"/>
          <w:szCs w:val="28"/>
          <w:vertAlign w:val="subscript"/>
        </w:rPr>
        <w:t>p</w:t>
      </w:r>
      <w:r>
        <w:rPr>
          <w:sz w:val="28"/>
          <w:szCs w:val="28"/>
        </w:rPr>
        <w:t>=</w:t>
      </w:r>
      <w:r>
        <w:rPr>
          <w:i/>
          <w:sz w:val="28"/>
          <w:szCs w:val="28"/>
        </w:rPr>
        <w:t>KJA</w:t>
      </w:r>
      <w:r>
        <w:rPr>
          <w:sz w:val="28"/>
          <w:szCs w:val="28"/>
          <w:vertAlign w:val="subscript"/>
        </w:rPr>
        <w:t>s</w:t>
      </w:r>
      <w:r>
        <w:rPr>
          <w:i/>
          <w:sz w:val="28"/>
          <w:szCs w:val="28"/>
        </w:rPr>
        <w:t>t</w:t>
      </w:r>
      <w:r>
        <w:rPr>
          <w:sz w:val="28"/>
          <w:szCs w:val="28"/>
          <w:vertAlign w:val="subscript"/>
        </w:rPr>
        <w:t xml:space="preserve">s             </w:t>
      </w:r>
      <w:r>
        <w:rPr>
          <w:sz w:val="28"/>
          <w:szCs w:val="28"/>
        </w:rPr>
        <w:t>…………………………</w:t>
      </w:r>
      <w:r>
        <w:rPr>
          <w:rFonts w:hint="eastAsia"/>
          <w:sz w:val="28"/>
          <w:szCs w:val="28"/>
        </w:rPr>
        <w:t>（</w:t>
      </w:r>
      <w:r>
        <w:rPr>
          <w:sz w:val="28"/>
          <w:szCs w:val="28"/>
        </w:rPr>
        <w:t>5.2.1-1</w:t>
      </w:r>
      <w:r>
        <w:rPr>
          <w:rFonts w:hint="eastAsia"/>
          <w:sz w:val="28"/>
          <w:szCs w:val="28"/>
        </w:rPr>
        <w:t>）</w:t>
      </w:r>
    </w:p>
    <w:p>
      <w:pPr>
        <w:snapToGrid w:val="0"/>
        <w:spacing w:after="0" w:line="360" w:lineRule="auto"/>
        <w:contextualSpacing/>
        <w:rPr>
          <w:sz w:val="28"/>
          <w:szCs w:val="28"/>
        </w:rPr>
      </w:pPr>
      <w:r>
        <w:rPr>
          <w:rFonts w:hint="eastAsia"/>
          <w:sz w:val="28"/>
          <w:szCs w:val="28"/>
        </w:rPr>
        <w:t>式中：</w:t>
      </w:r>
    </w:p>
    <w:p>
      <w:pPr>
        <w:snapToGrid w:val="0"/>
        <w:spacing w:after="0" w:line="360" w:lineRule="auto"/>
        <w:ind w:firstLine="560" w:firstLineChars="200"/>
        <w:contextualSpacing/>
        <w:rPr>
          <w:sz w:val="28"/>
          <w:szCs w:val="28"/>
        </w:rPr>
      </w:pPr>
      <w:r>
        <w:rPr>
          <w:i/>
          <w:sz w:val="28"/>
          <w:szCs w:val="28"/>
        </w:rPr>
        <w:t>W</w:t>
      </w:r>
      <w:r>
        <w:rPr>
          <w:sz w:val="28"/>
          <w:szCs w:val="28"/>
          <w:vertAlign w:val="subscript"/>
        </w:rPr>
        <w:t>p</w:t>
      </w:r>
      <w:r>
        <w:rPr>
          <w:sz w:val="28"/>
          <w:szCs w:val="28"/>
        </w:rPr>
        <w:t>——</w:t>
      </w:r>
      <w:r>
        <w:rPr>
          <w:rFonts w:hint="eastAsia"/>
          <w:sz w:val="28"/>
          <w:szCs w:val="28"/>
        </w:rPr>
        <w:t>设施降雨过程中的入渗量，</w:t>
      </w:r>
      <w:r>
        <w:rPr>
          <w:sz w:val="28"/>
          <w:szCs w:val="28"/>
        </w:rPr>
        <w:t>m</w:t>
      </w:r>
      <w:r>
        <w:rPr>
          <w:sz w:val="28"/>
          <w:szCs w:val="28"/>
          <w:vertAlign w:val="superscript"/>
        </w:rPr>
        <w:t>3</w:t>
      </w:r>
      <w:r>
        <w:rPr>
          <w:rFonts w:hint="eastAsia"/>
          <w:sz w:val="28"/>
          <w:szCs w:val="28"/>
        </w:rPr>
        <w:t>；</w:t>
      </w:r>
    </w:p>
    <w:p>
      <w:pPr>
        <w:snapToGrid w:val="0"/>
        <w:spacing w:after="0" w:line="360" w:lineRule="auto"/>
        <w:ind w:firstLine="480"/>
        <w:contextualSpacing/>
        <w:rPr>
          <w:sz w:val="28"/>
          <w:szCs w:val="28"/>
        </w:rPr>
      </w:pPr>
      <w:r>
        <w:rPr>
          <w:i/>
          <w:sz w:val="28"/>
          <w:szCs w:val="28"/>
        </w:rPr>
        <w:t>K</w:t>
      </w:r>
      <w:r>
        <w:rPr>
          <w:sz w:val="28"/>
          <w:szCs w:val="28"/>
        </w:rPr>
        <w:t>——</w:t>
      </w:r>
      <w:r>
        <w:rPr>
          <w:rFonts w:hint="eastAsia"/>
          <w:sz w:val="28"/>
          <w:szCs w:val="28"/>
        </w:rPr>
        <w:t>表层种植土的饱和渗透系数，</w:t>
      </w:r>
      <w:r>
        <w:rPr>
          <w:sz w:val="28"/>
          <w:szCs w:val="28"/>
        </w:rPr>
        <w:t>m/</w:t>
      </w:r>
      <w:r>
        <w:rPr>
          <w:rFonts w:hint="eastAsia"/>
          <w:sz w:val="28"/>
          <w:szCs w:val="28"/>
        </w:rPr>
        <w:t>h。根据土壤类型或土壤介质构成（考虑设施滞蓄空间的设计排空时间）确定；</w:t>
      </w:r>
    </w:p>
    <w:p>
      <w:pPr>
        <w:snapToGrid w:val="0"/>
        <w:spacing w:after="0" w:line="360" w:lineRule="auto"/>
        <w:ind w:firstLine="480"/>
        <w:contextualSpacing/>
        <w:rPr>
          <w:sz w:val="28"/>
          <w:szCs w:val="28"/>
        </w:rPr>
      </w:pPr>
      <w:r>
        <w:rPr>
          <w:i/>
          <w:sz w:val="28"/>
          <w:szCs w:val="28"/>
        </w:rPr>
        <w:t>J——</w:t>
      </w:r>
      <w:r>
        <w:rPr>
          <w:rFonts w:hint="eastAsia"/>
          <w:sz w:val="28"/>
          <w:szCs w:val="28"/>
        </w:rPr>
        <w:t>水力坡降。一般取</w:t>
      </w:r>
      <w:r>
        <w:rPr>
          <w:sz w:val="28"/>
          <w:szCs w:val="28"/>
        </w:rPr>
        <w:t>1</w:t>
      </w:r>
      <w:r>
        <w:rPr>
          <w:rFonts w:hint="eastAsia"/>
          <w:sz w:val="28"/>
          <w:szCs w:val="28"/>
        </w:rPr>
        <w:t>；</w:t>
      </w:r>
    </w:p>
    <w:p>
      <w:pPr>
        <w:snapToGrid w:val="0"/>
        <w:spacing w:after="0" w:line="360" w:lineRule="auto"/>
        <w:ind w:firstLine="560" w:firstLineChars="200"/>
        <w:contextualSpacing/>
        <w:rPr>
          <w:sz w:val="28"/>
          <w:szCs w:val="28"/>
        </w:rPr>
      </w:pPr>
      <w:r>
        <w:rPr>
          <w:i/>
          <w:sz w:val="28"/>
          <w:szCs w:val="28"/>
        </w:rPr>
        <w:t>A</w:t>
      </w:r>
      <w:r>
        <w:rPr>
          <w:sz w:val="28"/>
          <w:szCs w:val="28"/>
          <w:vertAlign w:val="subscript"/>
        </w:rPr>
        <w:t>s</w:t>
      </w:r>
      <w:r>
        <w:rPr>
          <w:i/>
          <w:sz w:val="28"/>
          <w:szCs w:val="28"/>
        </w:rPr>
        <w:t>——</w:t>
      </w:r>
      <w:r>
        <w:rPr>
          <w:rFonts w:hint="eastAsia"/>
          <w:sz w:val="28"/>
          <w:szCs w:val="28"/>
        </w:rPr>
        <w:t>有效渗透面积，</w:t>
      </w:r>
      <w:r>
        <w:rPr>
          <w:sz w:val="28"/>
          <w:szCs w:val="28"/>
        </w:rPr>
        <w:t>m</w:t>
      </w:r>
      <w:r>
        <w:rPr>
          <w:sz w:val="28"/>
          <w:szCs w:val="28"/>
          <w:vertAlign w:val="superscript"/>
        </w:rPr>
        <w:t>2</w:t>
      </w:r>
      <w:r>
        <w:rPr>
          <w:rFonts w:hint="eastAsia"/>
          <w:sz w:val="28"/>
          <w:szCs w:val="28"/>
        </w:rPr>
        <w:t>；</w:t>
      </w:r>
    </w:p>
    <w:p>
      <w:pPr>
        <w:snapToGrid w:val="0"/>
        <w:spacing w:after="0" w:line="360" w:lineRule="auto"/>
        <w:contextualSpacing/>
        <w:rPr>
          <w:sz w:val="28"/>
          <w:szCs w:val="28"/>
        </w:rPr>
      </w:pPr>
      <w:r>
        <w:rPr>
          <w:i/>
          <w:sz w:val="28"/>
          <w:szCs w:val="28"/>
        </w:rPr>
        <w:t xml:space="preserve">    t</w:t>
      </w:r>
      <w:r>
        <w:rPr>
          <w:sz w:val="28"/>
          <w:szCs w:val="28"/>
          <w:vertAlign w:val="subscript"/>
        </w:rPr>
        <w:t>s</w:t>
      </w:r>
      <w:r>
        <w:rPr>
          <w:sz w:val="28"/>
          <w:szCs w:val="28"/>
        </w:rPr>
        <w:t>——</w:t>
      </w:r>
      <w:r>
        <w:rPr>
          <w:rFonts w:hint="eastAsia"/>
          <w:sz w:val="28"/>
          <w:szCs w:val="28"/>
        </w:rPr>
        <w:t>降雨过程中的入渗历时，h。为当地多年平均场降雨历时，资料缺乏时，可取</w:t>
      </w:r>
      <w:r>
        <w:rPr>
          <w:sz w:val="28"/>
          <w:szCs w:val="28"/>
        </w:rPr>
        <w:t>12h</w:t>
      </w:r>
      <w:r>
        <w:rPr>
          <w:rFonts w:hint="eastAsia"/>
          <w:sz w:val="28"/>
          <w:szCs w:val="28"/>
        </w:rPr>
        <w:t>。</w:t>
      </w:r>
    </w:p>
    <w:p>
      <w:pPr>
        <w:snapToGrid w:val="0"/>
        <w:spacing w:after="0" w:line="360" w:lineRule="auto"/>
        <w:ind w:firstLine="560" w:firstLineChars="200"/>
        <w:contextualSpacing/>
        <w:rPr>
          <w:rFonts w:ascii="宋体" w:hAnsi="宋体"/>
          <w:sz w:val="28"/>
          <w:szCs w:val="28"/>
        </w:rPr>
      </w:pPr>
      <w:r>
        <w:rPr>
          <w:rFonts w:hint="eastAsia" w:ascii="宋体" w:hAnsi="宋体"/>
          <w:sz w:val="28"/>
          <w:szCs w:val="28"/>
        </w:rPr>
        <w:t>延时调节设施的径流体积控制规模：</w:t>
      </w:r>
    </w:p>
    <w:p>
      <w:pPr>
        <w:snapToGrid w:val="0"/>
        <w:spacing w:after="0" w:line="360" w:lineRule="auto"/>
        <w:ind w:firstLine="560" w:firstLineChars="200"/>
        <w:contextualSpacing/>
        <w:rPr>
          <w:rFonts w:ascii="宋体" w:hAnsi="宋体"/>
          <w:sz w:val="28"/>
          <w:szCs w:val="28"/>
        </w:rPr>
      </w:pPr>
      <w:r>
        <w:rPr>
          <w:rFonts w:hint="eastAsia" w:ascii="宋体" w:hAnsi="宋体"/>
          <w:i/>
          <w:sz w:val="28"/>
          <w:szCs w:val="28"/>
        </w:rPr>
        <w:t>V=</w:t>
      </w:r>
      <w:r>
        <w:rPr>
          <w:rFonts w:hint="eastAsia" w:ascii="宋体" w:hAnsi="宋体"/>
          <w:sz w:val="28"/>
          <w:szCs w:val="28"/>
        </w:rPr>
        <w:t>设施有效滞蓄容积</w:t>
      </w:r>
      <w:r>
        <w:rPr>
          <w:rFonts w:hint="eastAsia" w:ascii="宋体" w:hAnsi="宋体"/>
          <w:i/>
          <w:sz w:val="28"/>
          <w:szCs w:val="28"/>
        </w:rPr>
        <w:t>V</w:t>
      </w:r>
      <w:r>
        <w:rPr>
          <w:rFonts w:hint="eastAsia" w:ascii="宋体" w:hAnsi="宋体"/>
          <w:i/>
          <w:sz w:val="28"/>
          <w:szCs w:val="28"/>
          <w:vertAlign w:val="subscript"/>
        </w:rPr>
        <w:t>s</w:t>
      </w:r>
      <w:r>
        <w:rPr>
          <w:rFonts w:hint="eastAsia" w:ascii="宋体" w:hAnsi="宋体"/>
          <w:sz w:val="28"/>
          <w:szCs w:val="28"/>
        </w:rPr>
        <w:t>+设施降雨过程中的排放量</w:t>
      </w:r>
      <w:r>
        <w:rPr>
          <w:rFonts w:hint="eastAsia" w:ascii="宋体" w:hAnsi="宋体"/>
          <w:i/>
          <w:sz w:val="28"/>
          <w:szCs w:val="28"/>
        </w:rPr>
        <w:t>W</w:t>
      </w:r>
      <w:r>
        <w:rPr>
          <w:rFonts w:hint="eastAsia" w:ascii="宋体" w:hAnsi="宋体"/>
          <w:i/>
          <w:sz w:val="28"/>
          <w:szCs w:val="28"/>
          <w:vertAlign w:val="subscript"/>
        </w:rPr>
        <w:t>p</w:t>
      </w:r>
      <w:r>
        <w:rPr>
          <w:rFonts w:hint="eastAsia" w:ascii="宋体" w:hAnsi="宋体"/>
          <w:sz w:val="28"/>
          <w:szCs w:val="28"/>
        </w:rPr>
        <w:t>。</w:t>
      </w:r>
    </w:p>
    <w:p>
      <w:pPr>
        <w:autoSpaceDE w:val="0"/>
        <w:autoSpaceDN w:val="0"/>
        <w:snapToGrid w:val="0"/>
        <w:spacing w:after="0" w:line="360" w:lineRule="auto"/>
        <w:ind w:firstLine="560" w:firstLineChars="200"/>
        <w:contextualSpacing/>
        <w:jc w:val="right"/>
        <w:rPr>
          <w:sz w:val="28"/>
          <w:szCs w:val="28"/>
        </w:rPr>
      </w:pPr>
      <w:r>
        <w:rPr>
          <w:i/>
          <w:sz w:val="28"/>
          <w:szCs w:val="28"/>
        </w:rPr>
        <w:t>W</w:t>
      </w:r>
      <w:r>
        <w:rPr>
          <w:i/>
          <w:sz w:val="28"/>
          <w:szCs w:val="28"/>
          <w:vertAlign w:val="subscript"/>
        </w:rPr>
        <w:t>p</w:t>
      </w:r>
      <w:r>
        <w:rPr>
          <w:sz w:val="28"/>
          <w:szCs w:val="28"/>
        </w:rPr>
        <w:t>=</w:t>
      </w:r>
      <w:r>
        <w:rPr>
          <w:rFonts w:hint="eastAsia"/>
          <w:sz w:val="28"/>
          <w:szCs w:val="28"/>
        </w:rPr>
        <w:t>（</w:t>
      </w:r>
      <w:r>
        <w:rPr>
          <w:i/>
          <w:sz w:val="28"/>
          <w:szCs w:val="28"/>
        </w:rPr>
        <w:t>V</w:t>
      </w:r>
      <w:r>
        <w:rPr>
          <w:i/>
          <w:sz w:val="28"/>
          <w:szCs w:val="28"/>
          <w:vertAlign w:val="subscript"/>
        </w:rPr>
        <w:t>s</w:t>
      </w:r>
      <w:r>
        <w:rPr>
          <w:sz w:val="28"/>
          <w:szCs w:val="28"/>
        </w:rPr>
        <w:t>/</w:t>
      </w:r>
      <w:r>
        <w:rPr>
          <w:i/>
          <w:sz w:val="28"/>
          <w:szCs w:val="28"/>
        </w:rPr>
        <w:t>T</w:t>
      </w:r>
      <w:r>
        <w:rPr>
          <w:i/>
          <w:sz w:val="28"/>
          <w:szCs w:val="28"/>
          <w:vertAlign w:val="subscript"/>
        </w:rPr>
        <w:t>d</w:t>
      </w:r>
      <w:r>
        <w:rPr>
          <w:rFonts w:hint="eastAsia"/>
          <w:sz w:val="28"/>
          <w:szCs w:val="28"/>
        </w:rPr>
        <w:t>）</w:t>
      </w:r>
      <w:r>
        <w:rPr>
          <w:i/>
          <w:sz w:val="28"/>
          <w:szCs w:val="28"/>
        </w:rPr>
        <w:t>t</w:t>
      </w:r>
      <w:r>
        <w:rPr>
          <w:sz w:val="28"/>
          <w:szCs w:val="28"/>
          <w:vertAlign w:val="subscript"/>
        </w:rPr>
        <w:t xml:space="preserve">s             </w:t>
      </w:r>
      <w:r>
        <w:rPr>
          <w:sz w:val="28"/>
          <w:szCs w:val="28"/>
        </w:rPr>
        <w:t>…………………………</w:t>
      </w:r>
      <w:r>
        <w:rPr>
          <w:rFonts w:hint="eastAsia"/>
          <w:sz w:val="28"/>
          <w:szCs w:val="28"/>
        </w:rPr>
        <w:t>（</w:t>
      </w:r>
      <w:r>
        <w:rPr>
          <w:sz w:val="28"/>
          <w:szCs w:val="28"/>
        </w:rPr>
        <w:t>5.2.1-2</w:t>
      </w:r>
      <w:r>
        <w:rPr>
          <w:rFonts w:hint="eastAsia"/>
          <w:sz w:val="28"/>
          <w:szCs w:val="28"/>
        </w:rPr>
        <w:t>）</w:t>
      </w:r>
    </w:p>
    <w:p>
      <w:pPr>
        <w:snapToGrid w:val="0"/>
        <w:spacing w:after="0" w:line="360" w:lineRule="auto"/>
        <w:contextualSpacing/>
        <w:rPr>
          <w:sz w:val="28"/>
          <w:szCs w:val="28"/>
        </w:rPr>
      </w:pPr>
      <w:r>
        <w:rPr>
          <w:rFonts w:hint="eastAsia"/>
          <w:sz w:val="28"/>
          <w:szCs w:val="28"/>
        </w:rPr>
        <w:t>式中：</w:t>
      </w:r>
    </w:p>
    <w:p>
      <w:pPr>
        <w:snapToGrid w:val="0"/>
        <w:spacing w:after="0" w:line="360" w:lineRule="auto"/>
        <w:ind w:firstLine="700" w:firstLineChars="250"/>
        <w:contextualSpacing/>
        <w:rPr>
          <w:sz w:val="28"/>
          <w:szCs w:val="28"/>
        </w:rPr>
      </w:pPr>
      <w:r>
        <w:rPr>
          <w:i/>
          <w:sz w:val="28"/>
          <w:szCs w:val="28"/>
        </w:rPr>
        <w:t>W</w:t>
      </w:r>
      <w:r>
        <w:rPr>
          <w:i/>
          <w:sz w:val="28"/>
          <w:szCs w:val="28"/>
          <w:vertAlign w:val="subscript"/>
        </w:rPr>
        <w:t>p</w:t>
      </w:r>
      <w:r>
        <w:rPr>
          <w:i/>
          <w:sz w:val="28"/>
          <w:szCs w:val="28"/>
        </w:rPr>
        <w:t>——</w:t>
      </w:r>
      <w:r>
        <w:rPr>
          <w:rFonts w:hint="eastAsia"/>
          <w:sz w:val="28"/>
          <w:szCs w:val="28"/>
        </w:rPr>
        <w:t>设施降雨过程中的排放量，</w:t>
      </w:r>
      <w:r>
        <w:rPr>
          <w:sz w:val="28"/>
          <w:szCs w:val="28"/>
        </w:rPr>
        <w:t>m</w:t>
      </w:r>
      <w:r>
        <w:rPr>
          <w:sz w:val="28"/>
          <w:szCs w:val="28"/>
          <w:vertAlign w:val="superscript"/>
        </w:rPr>
        <w:t>3</w:t>
      </w:r>
      <w:r>
        <w:rPr>
          <w:rFonts w:hint="eastAsia"/>
          <w:sz w:val="28"/>
          <w:szCs w:val="28"/>
        </w:rPr>
        <w:t>；</w:t>
      </w:r>
    </w:p>
    <w:p>
      <w:pPr>
        <w:snapToGrid w:val="0"/>
        <w:spacing w:after="0" w:line="360" w:lineRule="auto"/>
        <w:ind w:firstLine="700" w:firstLineChars="250"/>
        <w:contextualSpacing/>
        <w:rPr>
          <w:sz w:val="28"/>
          <w:szCs w:val="28"/>
        </w:rPr>
      </w:pPr>
      <w:r>
        <w:rPr>
          <w:i/>
          <w:sz w:val="28"/>
          <w:szCs w:val="28"/>
        </w:rPr>
        <w:t>V</w:t>
      </w:r>
      <w:r>
        <w:rPr>
          <w:i/>
          <w:sz w:val="28"/>
          <w:szCs w:val="28"/>
          <w:vertAlign w:val="subscript"/>
        </w:rPr>
        <w:t>s</w:t>
      </w:r>
      <w:r>
        <w:rPr>
          <w:sz w:val="28"/>
          <w:szCs w:val="28"/>
        </w:rPr>
        <w:t>——</w:t>
      </w:r>
      <w:r>
        <w:rPr>
          <w:rFonts w:hint="eastAsia"/>
          <w:sz w:val="28"/>
          <w:szCs w:val="28"/>
        </w:rPr>
        <w:t>设施有效滞蓄容积，</w:t>
      </w:r>
      <w:r>
        <w:rPr>
          <w:sz w:val="28"/>
          <w:szCs w:val="28"/>
        </w:rPr>
        <w:t>m</w:t>
      </w:r>
      <w:r>
        <w:rPr>
          <w:sz w:val="28"/>
          <w:szCs w:val="28"/>
          <w:vertAlign w:val="superscript"/>
        </w:rPr>
        <w:t>3</w:t>
      </w:r>
      <w:r>
        <w:rPr>
          <w:rFonts w:hint="eastAsia"/>
          <w:sz w:val="28"/>
          <w:szCs w:val="28"/>
        </w:rPr>
        <w:t>；</w:t>
      </w:r>
    </w:p>
    <w:p>
      <w:pPr>
        <w:snapToGrid w:val="0"/>
        <w:spacing w:after="0" w:line="360" w:lineRule="auto"/>
        <w:ind w:left="1401" w:leftChars="267" w:hanging="840" w:hangingChars="300"/>
        <w:contextualSpacing/>
        <w:rPr>
          <w:sz w:val="28"/>
          <w:szCs w:val="28"/>
        </w:rPr>
      </w:pPr>
      <w:r>
        <w:rPr>
          <w:i/>
          <w:sz w:val="28"/>
          <w:szCs w:val="28"/>
        </w:rPr>
        <w:t xml:space="preserve"> T</w:t>
      </w:r>
      <w:r>
        <w:rPr>
          <w:i/>
          <w:sz w:val="28"/>
          <w:szCs w:val="28"/>
          <w:vertAlign w:val="subscript"/>
        </w:rPr>
        <w:t>d</w:t>
      </w:r>
      <w:r>
        <w:rPr>
          <w:i/>
          <w:sz w:val="28"/>
          <w:szCs w:val="28"/>
        </w:rPr>
        <w:t>——</w:t>
      </w:r>
      <w:r>
        <w:rPr>
          <w:rFonts w:hint="eastAsia"/>
          <w:sz w:val="28"/>
          <w:szCs w:val="28"/>
        </w:rPr>
        <w:t>设计排空时间，h。根据保证</w:t>
      </w:r>
      <w:r>
        <w:rPr>
          <w:sz w:val="28"/>
          <w:szCs w:val="28"/>
        </w:rPr>
        <w:t>SS</w:t>
      </w:r>
      <w:r>
        <w:rPr>
          <w:rFonts w:hint="eastAsia"/>
          <w:sz w:val="28"/>
          <w:szCs w:val="28"/>
        </w:rPr>
        <w:t>去除率所需沉淀时间确定，资料缺乏时，可取</w:t>
      </w:r>
      <w:r>
        <w:rPr>
          <w:sz w:val="28"/>
          <w:szCs w:val="28"/>
        </w:rPr>
        <w:t>40h</w:t>
      </w:r>
      <w:r>
        <w:rPr>
          <w:rFonts w:hint="eastAsia"/>
          <w:sz w:val="28"/>
          <w:szCs w:val="28"/>
        </w:rPr>
        <w:t>；</w:t>
      </w:r>
    </w:p>
    <w:p>
      <w:pPr>
        <w:snapToGrid w:val="0"/>
        <w:spacing w:after="0" w:line="360" w:lineRule="auto"/>
        <w:ind w:left="1401" w:leftChars="267" w:hanging="840" w:hangingChars="300"/>
        <w:contextualSpacing/>
        <w:rPr>
          <w:sz w:val="28"/>
          <w:szCs w:val="28"/>
        </w:rPr>
      </w:pPr>
      <w:r>
        <w:rPr>
          <w:i/>
          <w:sz w:val="28"/>
          <w:szCs w:val="28"/>
        </w:rPr>
        <w:t xml:space="preserve"> t</w:t>
      </w:r>
      <w:r>
        <w:rPr>
          <w:i/>
          <w:sz w:val="28"/>
          <w:szCs w:val="28"/>
          <w:vertAlign w:val="subscript"/>
        </w:rPr>
        <w:t xml:space="preserve">s </w:t>
      </w:r>
      <w:r>
        <w:rPr>
          <w:sz w:val="28"/>
          <w:szCs w:val="28"/>
        </w:rPr>
        <w:t>——</w:t>
      </w:r>
      <w:r>
        <w:rPr>
          <w:rFonts w:hint="eastAsia"/>
          <w:sz w:val="28"/>
          <w:szCs w:val="28"/>
        </w:rPr>
        <w:t>降雨过程中的排放历时，h。为当地多年平均场降雨历时，资料缺乏时，可取</w:t>
      </w:r>
      <w:r>
        <w:rPr>
          <w:sz w:val="28"/>
          <w:szCs w:val="28"/>
        </w:rPr>
        <w:t>12h</w:t>
      </w:r>
      <w:r>
        <w:rPr>
          <w:rFonts w:hint="eastAsia"/>
          <w:sz w:val="28"/>
          <w:szCs w:val="28"/>
        </w:rPr>
        <w:t>。</w:t>
      </w:r>
    </w:p>
    <w:p>
      <w:pPr>
        <w:snapToGrid w:val="0"/>
        <w:spacing w:after="0" w:line="360" w:lineRule="auto"/>
        <w:contextualSpacing/>
        <w:rPr>
          <w:b/>
          <w:sz w:val="28"/>
          <w:szCs w:val="28"/>
        </w:rPr>
      </w:pPr>
      <w:r>
        <w:rPr>
          <w:rFonts w:hint="eastAsia"/>
          <w:b/>
          <w:sz w:val="28"/>
          <w:szCs w:val="28"/>
        </w:rPr>
        <w:t>5</w:t>
      </w:r>
      <w:r>
        <w:rPr>
          <w:b/>
          <w:sz w:val="28"/>
          <w:szCs w:val="28"/>
        </w:rPr>
        <w:t>.1.2</w:t>
      </w:r>
      <w:r>
        <w:rPr>
          <w:rFonts w:hint="eastAsia"/>
          <w:b/>
          <w:sz w:val="28"/>
          <w:szCs w:val="28"/>
        </w:rPr>
        <w:t>溢流排水口监测</w:t>
      </w:r>
    </w:p>
    <w:p>
      <w:pPr>
        <w:snapToGrid w:val="0"/>
        <w:spacing w:after="0" w:line="360" w:lineRule="auto"/>
        <w:ind w:firstLine="563"/>
        <w:contextualSpacing/>
        <w:rPr>
          <w:sz w:val="28"/>
          <w:szCs w:val="28"/>
        </w:rPr>
      </w:pPr>
      <w:r>
        <w:rPr>
          <w:rFonts w:hint="eastAsia"/>
          <w:sz w:val="28"/>
          <w:szCs w:val="28"/>
        </w:rPr>
        <w:t>现场检查措施通过“渗、滞、蓄、净、用”，达到径流体积控制的设计要求后溢流排放的效果。</w:t>
      </w:r>
    </w:p>
    <w:p>
      <w:pPr>
        <w:snapToGrid w:val="0"/>
        <w:spacing w:after="0" w:line="360" w:lineRule="auto"/>
        <w:ind w:firstLine="563"/>
        <w:contextualSpacing/>
        <w:rPr>
          <w:sz w:val="28"/>
          <w:szCs w:val="28"/>
        </w:rPr>
      </w:pPr>
      <w:r>
        <w:rPr>
          <w:rFonts w:hint="eastAsia"/>
          <w:sz w:val="28"/>
          <w:szCs w:val="28"/>
        </w:rPr>
        <w:t>对监测项目（根据3</w:t>
      </w:r>
      <w:r>
        <w:rPr>
          <w:sz w:val="28"/>
          <w:szCs w:val="28"/>
        </w:rPr>
        <w:t>.0.2</w:t>
      </w:r>
      <w:r>
        <w:rPr>
          <w:rFonts w:hint="eastAsia"/>
          <w:sz w:val="28"/>
          <w:szCs w:val="28"/>
        </w:rPr>
        <w:t>确定）</w:t>
      </w:r>
      <w:r>
        <w:rPr>
          <w:rFonts w:hint="eastAsia" w:ascii="宋体" w:hAnsi="宋体"/>
          <w:sz w:val="28"/>
          <w:szCs w:val="28"/>
        </w:rPr>
        <w:t>接入市政管网的溢流排水口</w:t>
      </w:r>
      <w:r>
        <w:rPr>
          <w:rFonts w:hint="eastAsia"/>
          <w:sz w:val="28"/>
          <w:szCs w:val="28"/>
        </w:rPr>
        <w:t>，连续自动监测至少</w:t>
      </w:r>
      <w:r>
        <w:rPr>
          <w:sz w:val="28"/>
          <w:szCs w:val="28"/>
        </w:rPr>
        <w:t>1</w:t>
      </w:r>
      <w:r>
        <w:rPr>
          <w:rFonts w:hint="eastAsia"/>
          <w:sz w:val="28"/>
          <w:szCs w:val="28"/>
        </w:rPr>
        <w:t>个雨季，获得“时间</w:t>
      </w:r>
      <w:r>
        <w:rPr>
          <w:sz w:val="28"/>
          <w:szCs w:val="28"/>
        </w:rPr>
        <w:t>-</w:t>
      </w:r>
      <w:r>
        <w:rPr>
          <w:rFonts w:hint="eastAsia"/>
          <w:sz w:val="28"/>
          <w:szCs w:val="28"/>
        </w:rPr>
        <w:t>流量”序列监测数据。筛选至少</w:t>
      </w:r>
      <w:r>
        <w:rPr>
          <w:sz w:val="28"/>
          <w:szCs w:val="28"/>
        </w:rPr>
        <w:t>2</w:t>
      </w:r>
      <w:r>
        <w:rPr>
          <w:rFonts w:hint="eastAsia"/>
          <w:sz w:val="28"/>
          <w:szCs w:val="28"/>
        </w:rPr>
        <w:t>场降雨量略等于项目设计降雨深度，且与前一场降雨的降雨间隔大于设施设计排空时间的实际降雨，当降雨量小于项目设计降雨深度时，溢流排水口不得有直接排泄流量。</w:t>
      </w:r>
    </w:p>
    <w:p>
      <w:pPr>
        <w:snapToGrid w:val="0"/>
        <w:spacing w:after="0" w:line="360" w:lineRule="auto"/>
        <w:contextualSpacing/>
        <w:rPr>
          <w:b/>
          <w:sz w:val="28"/>
          <w:szCs w:val="28"/>
        </w:rPr>
      </w:pPr>
      <w:r>
        <w:rPr>
          <w:b/>
          <w:sz w:val="28"/>
          <w:szCs w:val="28"/>
        </w:rPr>
        <w:t>5.1.3</w:t>
      </w:r>
      <w:r>
        <w:rPr>
          <w:rFonts w:hint="eastAsia"/>
          <w:b/>
          <w:sz w:val="28"/>
          <w:szCs w:val="28"/>
        </w:rPr>
        <w:t>项目实际雨水年径流总量控制率评价</w:t>
      </w:r>
    </w:p>
    <w:p>
      <w:pPr>
        <w:snapToGrid w:val="0"/>
        <w:spacing w:after="0" w:line="360" w:lineRule="auto"/>
        <w:ind w:firstLine="555"/>
        <w:contextualSpacing/>
        <w:rPr>
          <w:sz w:val="28"/>
          <w:szCs w:val="28"/>
        </w:rPr>
      </w:pPr>
      <w:r>
        <w:rPr>
          <w:rFonts w:hint="eastAsia"/>
          <w:sz w:val="28"/>
          <w:szCs w:val="28"/>
        </w:rPr>
        <w:t>现场检查措施实际控制的径流体积，核算其所对应的降雨深度，通过查阅“雨水年径流总量控制率与设计降雨深度关系曲线图”得到实际的年径流总量控制率。</w:t>
      </w:r>
    </w:p>
    <w:p>
      <w:pPr>
        <w:snapToGrid w:val="0"/>
        <w:spacing w:after="0" w:line="360" w:lineRule="auto"/>
        <w:ind w:firstLine="555"/>
        <w:contextualSpacing/>
        <w:rPr>
          <w:sz w:val="28"/>
          <w:szCs w:val="28"/>
        </w:rPr>
      </w:pPr>
      <w:r>
        <w:rPr>
          <w:rFonts w:hint="eastAsia"/>
          <w:sz w:val="28"/>
          <w:szCs w:val="28"/>
        </w:rPr>
        <w:t>将各设施的雨水年径流总量控制率按相应控制范围加权平均，得到项目实际雨水年径流总量控制率，比较是否达到规定的设计要求。</w:t>
      </w:r>
    </w:p>
    <w:p>
      <w:pPr>
        <w:snapToGrid w:val="0"/>
        <w:spacing w:after="0" w:line="360" w:lineRule="auto"/>
        <w:ind w:firstLine="560" w:firstLineChars="200"/>
        <w:contextualSpacing/>
        <w:rPr>
          <w:rFonts w:ascii="宋体" w:hAnsi="宋体"/>
          <w:sz w:val="28"/>
          <w:szCs w:val="28"/>
        </w:rPr>
      </w:pPr>
      <w:r>
        <w:rPr>
          <w:rFonts w:hint="eastAsia" w:ascii="宋体" w:hAnsi="宋体"/>
          <w:sz w:val="28"/>
          <w:szCs w:val="28"/>
        </w:rPr>
        <w:t>（1）对没有通过设施进行控制的下垫面，将各设施、未通过设施进行控制的各下垫面的年径流总量控制率按设施控制范围（包括设施自身面积）、占地面积（未通过设施进行控制的下垫面）加权平均，得到项目实际雨水年径流总量控制率；</w:t>
      </w:r>
    </w:p>
    <w:p>
      <w:pPr>
        <w:snapToGrid w:val="0"/>
        <w:spacing w:after="0" w:line="360" w:lineRule="auto"/>
        <w:ind w:firstLine="560" w:firstLineChars="200"/>
        <w:contextualSpacing/>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）对没有通过设施进行控制的不透水下垫面，其年径流总量控制率为零；</w:t>
      </w:r>
    </w:p>
    <w:p>
      <w:pPr>
        <w:snapToGrid w:val="0"/>
        <w:spacing w:after="0" w:line="360" w:lineRule="auto"/>
        <w:ind w:firstLine="560" w:firstLineChars="200"/>
        <w:contextualSpacing/>
        <w:rPr>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）对没有通过设施进行控制的透水下垫面，如透水铺装、普通绿地等，按设计降雨</w:t>
      </w:r>
      <w:r>
        <w:rPr>
          <w:rFonts w:hint="eastAsia"/>
          <w:sz w:val="28"/>
          <w:szCs w:val="28"/>
        </w:rPr>
        <w:t>深度</w:t>
      </w:r>
      <w:r>
        <w:rPr>
          <w:sz w:val="28"/>
          <w:szCs w:val="28"/>
        </w:rPr>
        <w:t>H</w:t>
      </w:r>
      <w:r>
        <w:rPr>
          <w:rFonts w:hint="eastAsia"/>
          <w:sz w:val="28"/>
          <w:szCs w:val="28"/>
        </w:rPr>
        <w:t>为其初损后损值（即植物截留、洼蓄量、降雨过程中入渗量之和）获取年径流总量控制率，或按（</w:t>
      </w:r>
      <w:r>
        <w:rPr>
          <w:sz w:val="28"/>
          <w:szCs w:val="28"/>
        </w:rPr>
        <w:t>1-</w:t>
      </w:r>
      <w:r>
        <w:rPr>
          <w:rFonts w:hint="eastAsia"/>
          <w:sz w:val="28"/>
          <w:szCs w:val="28"/>
        </w:rPr>
        <w:t>雨量径流系数）估算其年径流总量控制率。</w:t>
      </w:r>
    </w:p>
    <w:p>
      <w:pPr>
        <w:snapToGrid w:val="0"/>
        <w:spacing w:after="0" w:line="360" w:lineRule="auto"/>
        <w:contextualSpacing/>
        <w:rPr>
          <w:b/>
          <w:sz w:val="28"/>
          <w:szCs w:val="28"/>
        </w:rPr>
      </w:pPr>
      <w:r>
        <w:rPr>
          <w:rFonts w:hint="eastAsia"/>
          <w:b/>
          <w:sz w:val="28"/>
          <w:szCs w:val="28"/>
        </w:rPr>
        <w:t>5</w:t>
      </w:r>
      <w:r>
        <w:rPr>
          <w:b/>
          <w:sz w:val="28"/>
          <w:szCs w:val="28"/>
        </w:rPr>
        <w:t>.1.4</w:t>
      </w:r>
      <w:r>
        <w:rPr>
          <w:rFonts w:hint="eastAsia"/>
          <w:b/>
          <w:sz w:val="28"/>
          <w:szCs w:val="28"/>
        </w:rPr>
        <w:t>排水或汇水分区评价</w:t>
      </w:r>
    </w:p>
    <w:p>
      <w:pPr>
        <w:snapToGrid w:val="0"/>
        <w:spacing w:after="0" w:line="360" w:lineRule="auto"/>
        <w:ind w:firstLine="555"/>
        <w:contextualSpacing/>
        <w:rPr>
          <w:sz w:val="28"/>
          <w:szCs w:val="28"/>
        </w:rPr>
      </w:pPr>
      <w:r>
        <w:rPr>
          <w:rFonts w:hint="eastAsia"/>
          <w:sz w:val="28"/>
          <w:szCs w:val="28"/>
        </w:rPr>
        <w:t>对排水或汇水分区可采用模型模拟法进行评价，模拟计算排水或汇水分区的雨水年径流总量控制率是否达到规定要求。</w:t>
      </w:r>
    </w:p>
    <w:p>
      <w:pPr>
        <w:snapToGrid w:val="0"/>
        <w:spacing w:after="0" w:line="360" w:lineRule="auto"/>
        <w:ind w:firstLine="560" w:firstLineChars="200"/>
        <w:contextualSpacing/>
        <w:rPr>
          <w:sz w:val="28"/>
          <w:szCs w:val="28"/>
        </w:rPr>
      </w:pPr>
      <w:r>
        <w:rPr>
          <w:rFonts w:hint="eastAsia"/>
          <w:sz w:val="28"/>
          <w:szCs w:val="28"/>
        </w:rPr>
        <w:t>模型应具有地面产汇流、管道汇流、源头减排设施等模拟功能。模型建模要求具有源头减排设施参数、管网拓扑、下垫面、地形，以及至少近</w:t>
      </w:r>
      <w:r>
        <w:rPr>
          <w:sz w:val="28"/>
          <w:szCs w:val="28"/>
        </w:rPr>
        <w:t>10</w:t>
      </w:r>
      <w:r>
        <w:rPr>
          <w:rFonts w:hint="eastAsia"/>
          <w:sz w:val="28"/>
          <w:szCs w:val="28"/>
        </w:rPr>
        <w:t>年的步长</w:t>
      </w:r>
      <w:r>
        <w:rPr>
          <w:sz w:val="28"/>
          <w:szCs w:val="28"/>
        </w:rPr>
        <w:t>1min</w:t>
      </w:r>
      <w:r>
        <w:rPr>
          <w:rFonts w:hint="eastAsia"/>
          <w:sz w:val="28"/>
          <w:szCs w:val="28"/>
        </w:rPr>
        <w:t>或</w:t>
      </w:r>
      <w:r>
        <w:rPr>
          <w:sz w:val="28"/>
          <w:szCs w:val="28"/>
        </w:rPr>
        <w:t>5min</w:t>
      </w:r>
      <w:r>
        <w:rPr>
          <w:rFonts w:hint="eastAsia"/>
          <w:sz w:val="28"/>
          <w:szCs w:val="28"/>
        </w:rPr>
        <w:t>的连续降雨监测数据。</w:t>
      </w:r>
    </w:p>
    <w:p>
      <w:pPr>
        <w:snapToGrid w:val="0"/>
        <w:spacing w:after="0" w:line="360" w:lineRule="auto"/>
        <w:ind w:firstLine="560" w:firstLineChars="200"/>
        <w:contextualSpacing/>
        <w:rPr>
          <w:sz w:val="28"/>
          <w:szCs w:val="28"/>
        </w:rPr>
      </w:pPr>
      <w:r>
        <w:rPr>
          <w:rFonts w:hint="eastAsia"/>
          <w:sz w:val="28"/>
          <w:szCs w:val="28"/>
        </w:rPr>
        <w:t>模型参数的率定与验证，应选择至少</w:t>
      </w:r>
      <w:r>
        <w:rPr>
          <w:sz w:val="28"/>
          <w:szCs w:val="28"/>
        </w:rPr>
        <w:t>1</w:t>
      </w:r>
      <w:r>
        <w:rPr>
          <w:rFonts w:hint="eastAsia"/>
          <w:sz w:val="28"/>
          <w:szCs w:val="28"/>
        </w:rPr>
        <w:t>个典型的排水或汇水分区，在市政管网某一个总排水口及上游关键的管网节点处设置流量计，与分区内的监测项目（根据</w:t>
      </w:r>
      <w:r>
        <w:rPr>
          <w:sz w:val="28"/>
          <w:szCs w:val="28"/>
        </w:rPr>
        <w:t>3.0.2</w:t>
      </w:r>
      <w:r>
        <w:rPr>
          <w:rFonts w:hint="eastAsia"/>
          <w:sz w:val="28"/>
          <w:szCs w:val="28"/>
        </w:rPr>
        <w:t>确定）同步进行连续自动监测，获取至少</w:t>
      </w:r>
      <w:r>
        <w:rPr>
          <w:sz w:val="28"/>
          <w:szCs w:val="28"/>
        </w:rPr>
        <w:t>1</w:t>
      </w:r>
      <w:r>
        <w:rPr>
          <w:rFonts w:hint="eastAsia"/>
          <w:sz w:val="28"/>
          <w:szCs w:val="28"/>
        </w:rPr>
        <w:t>年的“时间</w:t>
      </w:r>
      <w:r>
        <w:rPr>
          <w:sz w:val="28"/>
          <w:szCs w:val="28"/>
        </w:rPr>
        <w:t>-</w:t>
      </w:r>
      <w:r>
        <w:rPr>
          <w:rFonts w:hint="eastAsia"/>
          <w:sz w:val="28"/>
          <w:szCs w:val="28"/>
        </w:rPr>
        <w:t>流量”序列监测数据。模型参数率定与验证的</w:t>
      </w:r>
      <w:r>
        <w:rPr>
          <w:sz w:val="28"/>
          <w:szCs w:val="28"/>
        </w:rPr>
        <w:t>Nash-Sutcliffe</w:t>
      </w:r>
      <w:r>
        <w:rPr>
          <w:rFonts w:hint="eastAsia"/>
          <w:sz w:val="28"/>
          <w:szCs w:val="28"/>
        </w:rPr>
        <w:t>效率系数不得小于</w:t>
      </w:r>
      <w:r>
        <w:rPr>
          <w:sz w:val="28"/>
          <w:szCs w:val="28"/>
        </w:rPr>
        <w:t>0.5</w:t>
      </w:r>
      <w:r>
        <w:rPr>
          <w:rFonts w:hint="eastAsia"/>
          <w:sz w:val="28"/>
          <w:szCs w:val="28"/>
        </w:rPr>
        <w:t>。</w:t>
      </w:r>
    </w:p>
    <w:p>
      <w:pPr>
        <w:snapToGrid w:val="0"/>
        <w:spacing w:after="0" w:line="360" w:lineRule="auto"/>
        <w:contextualSpacing/>
        <w:rPr>
          <w:b/>
          <w:sz w:val="28"/>
          <w:szCs w:val="28"/>
        </w:rPr>
      </w:pPr>
      <w:r>
        <w:rPr>
          <w:rFonts w:hint="eastAsia"/>
          <w:b/>
          <w:sz w:val="28"/>
          <w:szCs w:val="28"/>
        </w:rPr>
        <w:t>5</w:t>
      </w:r>
      <w:r>
        <w:rPr>
          <w:b/>
          <w:sz w:val="28"/>
          <w:szCs w:val="28"/>
        </w:rPr>
        <w:t>.1.5</w:t>
      </w:r>
      <w:r>
        <w:rPr>
          <w:rFonts w:hint="eastAsia"/>
          <w:b/>
          <w:sz w:val="28"/>
          <w:szCs w:val="28"/>
        </w:rPr>
        <w:t>城市评价</w:t>
      </w:r>
    </w:p>
    <w:p>
      <w:pPr>
        <w:snapToGrid w:val="0"/>
        <w:spacing w:after="0" w:line="360" w:lineRule="auto"/>
        <w:ind w:firstLine="555"/>
        <w:contextualSpacing/>
        <w:rPr>
          <w:sz w:val="28"/>
          <w:szCs w:val="28"/>
        </w:rPr>
      </w:pPr>
      <w:r>
        <w:rPr>
          <w:rFonts w:hint="eastAsia"/>
          <w:sz w:val="28"/>
          <w:szCs w:val="28"/>
        </w:rPr>
        <w:t>将各排水或汇水分区的雨水年径流总量控制率按相应控制范围加权平均得到城市雨水年径流总量控制率，评价其是否达到规定要求。</w:t>
      </w:r>
    </w:p>
    <w:bookmarkEnd w:id="17"/>
    <w:p>
      <w:pPr>
        <w:pStyle w:val="3"/>
        <w:jc w:val="center"/>
        <w:rPr>
          <w:rFonts w:ascii="Times New Roman" w:hAnsi="Times New Roman"/>
          <w:b w:val="0"/>
          <w:sz w:val="30"/>
          <w:szCs w:val="30"/>
        </w:rPr>
      </w:pPr>
      <w:bookmarkStart w:id="18" w:name="_Toc517339208"/>
      <w:bookmarkStart w:id="19" w:name="_Toc513495651"/>
      <w:r>
        <w:rPr>
          <w:rFonts w:ascii="Times New Roman" w:hAnsi="Times New Roman"/>
          <w:b w:val="0"/>
          <w:sz w:val="30"/>
          <w:szCs w:val="30"/>
        </w:rPr>
        <w:t xml:space="preserve">5.2 </w:t>
      </w:r>
      <w:r>
        <w:rPr>
          <w:rFonts w:hint="eastAsia" w:ascii="Times New Roman" w:hAnsi="Times New Roman"/>
          <w:b w:val="0"/>
          <w:sz w:val="30"/>
          <w:szCs w:val="30"/>
        </w:rPr>
        <w:t>路面积水控制与内涝防治</w:t>
      </w:r>
      <w:bookmarkEnd w:id="18"/>
      <w:bookmarkEnd w:id="19"/>
    </w:p>
    <w:p>
      <w:pPr>
        <w:snapToGrid w:val="0"/>
        <w:spacing w:after="0" w:line="360" w:lineRule="auto"/>
        <w:contextualSpacing/>
        <w:rPr>
          <w:b/>
          <w:sz w:val="28"/>
          <w:szCs w:val="28"/>
        </w:rPr>
      </w:pPr>
      <w:r>
        <w:rPr>
          <w:rFonts w:hint="eastAsia"/>
          <w:b/>
          <w:sz w:val="28"/>
          <w:szCs w:val="28"/>
        </w:rPr>
        <w:t>5</w:t>
      </w:r>
      <w:r>
        <w:rPr>
          <w:b/>
          <w:sz w:val="28"/>
          <w:szCs w:val="28"/>
        </w:rPr>
        <w:t>.2.1</w:t>
      </w:r>
      <w:r>
        <w:rPr>
          <w:rFonts w:hint="eastAsia"/>
          <w:b/>
          <w:sz w:val="28"/>
          <w:szCs w:val="28"/>
        </w:rPr>
        <w:t>路面积水控制评价</w:t>
      </w:r>
    </w:p>
    <w:p>
      <w:pPr>
        <w:snapToGrid w:val="0"/>
        <w:spacing w:after="0" w:line="360" w:lineRule="auto"/>
        <w:ind w:firstLine="560" w:firstLineChars="200"/>
        <w:contextualSpacing/>
        <w:rPr>
          <w:sz w:val="28"/>
          <w:szCs w:val="28"/>
        </w:rPr>
      </w:pPr>
      <w:r>
        <w:rPr>
          <w:rFonts w:hint="eastAsia"/>
          <w:sz w:val="28"/>
          <w:szCs w:val="28"/>
        </w:rPr>
        <w:t>采用摄像资料查阅与现场观测相结合的方法进行评价。在《室外排水设计规范》（</w:t>
      </w:r>
      <w:r>
        <w:rPr>
          <w:sz w:val="28"/>
          <w:szCs w:val="28"/>
        </w:rPr>
        <w:t>GB 50014</w:t>
      </w:r>
      <w:r>
        <w:rPr>
          <w:rFonts w:hint="eastAsia"/>
          <w:sz w:val="28"/>
          <w:szCs w:val="28"/>
        </w:rPr>
        <w:t>）规定的雨水排水设计重现期</w:t>
      </w:r>
      <w:r>
        <w:rPr>
          <w:rFonts w:hint="eastAsia" w:ascii="宋体" w:hAnsi="宋体"/>
          <w:sz w:val="28"/>
          <w:szCs w:val="28"/>
        </w:rPr>
        <w:t>下</w:t>
      </w:r>
      <w:r>
        <w:rPr>
          <w:rFonts w:hint="eastAsia"/>
          <w:sz w:val="28"/>
          <w:szCs w:val="28"/>
        </w:rPr>
        <w:t>，非机动车道、人行道、建筑小区内部道路不得有积水现象。</w:t>
      </w:r>
    </w:p>
    <w:p>
      <w:pPr>
        <w:snapToGrid w:val="0"/>
        <w:spacing w:after="0" w:line="360" w:lineRule="auto"/>
        <w:contextualSpacing/>
        <w:rPr>
          <w:b/>
          <w:sz w:val="28"/>
          <w:szCs w:val="28"/>
        </w:rPr>
      </w:pPr>
      <w:r>
        <w:rPr>
          <w:rFonts w:hint="eastAsia"/>
          <w:b/>
          <w:sz w:val="28"/>
          <w:szCs w:val="28"/>
        </w:rPr>
        <w:t>5</w:t>
      </w:r>
      <w:r>
        <w:rPr>
          <w:b/>
          <w:sz w:val="28"/>
          <w:szCs w:val="28"/>
        </w:rPr>
        <w:t>.2.2</w:t>
      </w:r>
      <w:r>
        <w:rPr>
          <w:rFonts w:hint="eastAsia"/>
          <w:b/>
          <w:sz w:val="28"/>
          <w:szCs w:val="28"/>
        </w:rPr>
        <w:t>内涝防治评价</w:t>
      </w:r>
    </w:p>
    <w:p>
      <w:pPr>
        <w:snapToGrid w:val="0"/>
        <w:spacing w:after="0" w:line="360" w:lineRule="auto"/>
        <w:ind w:firstLine="560" w:firstLineChars="200"/>
        <w:contextualSpacing/>
        <w:rPr>
          <w:sz w:val="28"/>
          <w:szCs w:val="28"/>
        </w:rPr>
      </w:pPr>
      <w:r>
        <w:rPr>
          <w:rFonts w:hint="eastAsia"/>
          <w:sz w:val="28"/>
          <w:szCs w:val="28"/>
        </w:rPr>
        <w:t>采用模型模拟的方法进行评价。模型应具有地面产汇流、管道汇流、地表漫流、河湖水系等模拟功能。模型建模要求具有管网拓扑、下垫面、地形，以及历史积水点的积水监测数据和排水防涝重现期下的雨型数据。</w:t>
      </w:r>
    </w:p>
    <w:p>
      <w:pPr>
        <w:snapToGrid w:val="0"/>
        <w:spacing w:after="0" w:line="360" w:lineRule="auto"/>
        <w:ind w:firstLine="560" w:firstLineChars="200"/>
        <w:contextualSpacing/>
        <w:rPr>
          <w:sz w:val="28"/>
          <w:szCs w:val="28"/>
        </w:rPr>
      </w:pPr>
      <w:r>
        <w:rPr>
          <w:rFonts w:hint="eastAsia"/>
          <w:sz w:val="28"/>
          <w:szCs w:val="28"/>
        </w:rPr>
        <w:t>参照5</w:t>
      </w:r>
      <w:r>
        <w:rPr>
          <w:sz w:val="28"/>
          <w:szCs w:val="28"/>
        </w:rPr>
        <w:t>.1.4</w:t>
      </w:r>
      <w:r>
        <w:rPr>
          <w:rFonts w:hint="eastAsia"/>
          <w:sz w:val="28"/>
          <w:szCs w:val="28"/>
        </w:rPr>
        <w:t>规定的模型参数率定与验证要求，模拟计算积水范围、积水深度、积水时间，是否达到《室外排水设计规范》（</w:t>
      </w:r>
      <w:r>
        <w:rPr>
          <w:sz w:val="28"/>
          <w:szCs w:val="28"/>
        </w:rPr>
        <w:t>GB 50014</w:t>
      </w:r>
      <w:r>
        <w:rPr>
          <w:rFonts w:hint="eastAsia"/>
          <w:sz w:val="28"/>
          <w:szCs w:val="28"/>
        </w:rPr>
        <w:t>）与《城镇内涝防治技术规范》（</w:t>
      </w:r>
      <w:r>
        <w:rPr>
          <w:sz w:val="28"/>
          <w:szCs w:val="28"/>
        </w:rPr>
        <w:t>GB 51222</w:t>
      </w:r>
      <w:r>
        <w:rPr>
          <w:rFonts w:hint="eastAsia"/>
          <w:sz w:val="28"/>
          <w:szCs w:val="28"/>
        </w:rPr>
        <w:t>）的规定要求。</w:t>
      </w:r>
    </w:p>
    <w:p>
      <w:pPr>
        <w:pStyle w:val="3"/>
        <w:jc w:val="center"/>
        <w:rPr>
          <w:rFonts w:ascii="Times New Roman" w:hAnsi="Times New Roman"/>
          <w:b w:val="0"/>
          <w:sz w:val="30"/>
          <w:szCs w:val="30"/>
        </w:rPr>
      </w:pPr>
      <w:bookmarkStart w:id="20" w:name="_Toc517339209"/>
      <w:r>
        <w:rPr>
          <w:rFonts w:ascii="Times New Roman" w:hAnsi="Times New Roman"/>
          <w:b w:val="0"/>
          <w:sz w:val="30"/>
          <w:szCs w:val="30"/>
        </w:rPr>
        <w:t xml:space="preserve">5.3 </w:t>
      </w:r>
      <w:r>
        <w:rPr>
          <w:rFonts w:hint="eastAsia" w:ascii="Times New Roman" w:hAnsi="Times New Roman"/>
          <w:b w:val="0"/>
          <w:sz w:val="30"/>
          <w:szCs w:val="30"/>
        </w:rPr>
        <w:t>城市水体环境质量</w:t>
      </w:r>
      <w:bookmarkEnd w:id="20"/>
    </w:p>
    <w:p>
      <w:pPr>
        <w:snapToGrid w:val="0"/>
        <w:spacing w:after="0" w:line="360" w:lineRule="auto"/>
        <w:contextualSpacing/>
        <w:rPr>
          <w:b/>
          <w:sz w:val="28"/>
          <w:szCs w:val="28"/>
        </w:rPr>
      </w:pPr>
      <w:r>
        <w:rPr>
          <w:b/>
          <w:sz w:val="28"/>
          <w:szCs w:val="28"/>
        </w:rPr>
        <w:t>5.3.1</w:t>
      </w:r>
      <w:r>
        <w:rPr>
          <w:rFonts w:hint="eastAsia"/>
          <w:b/>
          <w:sz w:val="28"/>
          <w:szCs w:val="28"/>
        </w:rPr>
        <w:t>污水废水直排控制</w:t>
      </w:r>
    </w:p>
    <w:p>
      <w:pPr>
        <w:snapToGrid w:val="0"/>
        <w:spacing w:after="0" w:line="360" w:lineRule="auto"/>
        <w:ind w:firstLine="560" w:firstLineChars="200"/>
        <w:contextualSpacing/>
        <w:rPr>
          <w:sz w:val="28"/>
          <w:szCs w:val="28"/>
        </w:rPr>
      </w:pPr>
      <w:r>
        <w:rPr>
          <w:rFonts w:hint="eastAsia"/>
          <w:sz w:val="28"/>
          <w:szCs w:val="28"/>
        </w:rPr>
        <w:t>采用现场检查的方法进行评价，建筑小区、市政管网排水口旱天无污废水直排现象。</w:t>
      </w:r>
    </w:p>
    <w:p>
      <w:pPr>
        <w:snapToGrid w:val="0"/>
        <w:spacing w:after="0" w:line="360" w:lineRule="auto"/>
        <w:contextualSpacing/>
        <w:rPr>
          <w:b/>
          <w:sz w:val="28"/>
          <w:szCs w:val="28"/>
        </w:rPr>
      </w:pPr>
      <w:r>
        <w:rPr>
          <w:rFonts w:hint="eastAsia"/>
          <w:b/>
          <w:sz w:val="28"/>
          <w:szCs w:val="28"/>
        </w:rPr>
        <w:t>5</w:t>
      </w:r>
      <w:r>
        <w:rPr>
          <w:b/>
          <w:sz w:val="28"/>
          <w:szCs w:val="28"/>
        </w:rPr>
        <w:t>.3.2</w:t>
      </w:r>
      <w:r>
        <w:rPr>
          <w:rFonts w:hint="eastAsia"/>
          <w:b/>
          <w:sz w:val="28"/>
          <w:szCs w:val="28"/>
        </w:rPr>
        <w:t>合流制溢流污染控制</w:t>
      </w:r>
    </w:p>
    <w:p>
      <w:pPr>
        <w:snapToGrid w:val="0"/>
        <w:spacing w:after="0" w:line="360" w:lineRule="auto"/>
        <w:ind w:firstLine="560" w:firstLineChars="200"/>
        <w:contextualSpacing/>
        <w:rPr>
          <w:sz w:val="28"/>
          <w:szCs w:val="28"/>
        </w:rPr>
      </w:pPr>
      <w:r>
        <w:rPr>
          <w:rFonts w:hint="eastAsia"/>
          <w:sz w:val="28"/>
          <w:szCs w:val="28"/>
        </w:rPr>
        <w:t>采用资料查阅、监测、模型模拟与现场检查相结合的方法进行评价。</w:t>
      </w:r>
    </w:p>
    <w:p>
      <w:pPr>
        <w:snapToGrid w:val="0"/>
        <w:spacing w:after="0" w:line="360" w:lineRule="auto"/>
        <w:ind w:firstLine="560" w:firstLineChars="200"/>
        <w:contextualSpacing/>
        <w:rPr>
          <w:sz w:val="28"/>
          <w:szCs w:val="28"/>
        </w:rPr>
      </w:pPr>
      <w:r>
        <w:rPr>
          <w:rFonts w:hint="eastAsia"/>
          <w:sz w:val="28"/>
          <w:szCs w:val="28"/>
        </w:rPr>
        <w:t>（</w:t>
      </w:r>
      <w:r>
        <w:rPr>
          <w:sz w:val="28"/>
          <w:szCs w:val="28"/>
        </w:rPr>
        <w:t>1</w:t>
      </w:r>
      <w:r>
        <w:rPr>
          <w:rFonts w:hint="eastAsia"/>
          <w:sz w:val="28"/>
          <w:szCs w:val="28"/>
        </w:rPr>
        <w:t>）查阅项目设计施工文件并现场检查合流制污染控制措施实施情况。</w:t>
      </w:r>
    </w:p>
    <w:p>
      <w:pPr>
        <w:snapToGrid w:val="0"/>
        <w:spacing w:after="0" w:line="360" w:lineRule="auto"/>
        <w:ind w:firstLine="560" w:firstLineChars="200"/>
        <w:contextualSpacing/>
        <w:rPr>
          <w:sz w:val="28"/>
          <w:szCs w:val="28"/>
        </w:rPr>
      </w:pPr>
      <w:r>
        <w:rPr>
          <w:rFonts w:hint="eastAsia"/>
          <w:sz w:val="28"/>
          <w:szCs w:val="28"/>
        </w:rPr>
        <w:t>（</w:t>
      </w:r>
      <w:r>
        <w:rPr>
          <w:sz w:val="28"/>
          <w:szCs w:val="28"/>
        </w:rPr>
        <w:t>2</w:t>
      </w:r>
      <w:r>
        <w:rPr>
          <w:rFonts w:hint="eastAsia"/>
          <w:sz w:val="28"/>
          <w:szCs w:val="28"/>
        </w:rPr>
        <w:t>）连续监测溢流污染处理措施进水口与排水口的流量与水质，评价年均S</w:t>
      </w:r>
      <w:r>
        <w:rPr>
          <w:sz w:val="28"/>
          <w:szCs w:val="28"/>
        </w:rPr>
        <w:t>S</w:t>
      </w:r>
      <w:r>
        <w:rPr>
          <w:rFonts w:hint="eastAsia"/>
          <w:sz w:val="28"/>
          <w:szCs w:val="28"/>
        </w:rPr>
        <w:t>总量削减率和月均S</w:t>
      </w:r>
      <w:r>
        <w:rPr>
          <w:sz w:val="28"/>
          <w:szCs w:val="28"/>
        </w:rPr>
        <w:t>S</w:t>
      </w:r>
      <w:r>
        <w:rPr>
          <w:rFonts w:hint="eastAsia"/>
          <w:sz w:val="28"/>
          <w:szCs w:val="28"/>
        </w:rPr>
        <w:t>排放浓度是否达到规定要求。</w:t>
      </w:r>
    </w:p>
    <w:p>
      <w:pPr>
        <w:snapToGrid w:val="0"/>
        <w:spacing w:after="0" w:line="360" w:lineRule="auto"/>
        <w:ind w:firstLine="560" w:firstLineChars="200"/>
        <w:contextualSpacing/>
        <w:rPr>
          <w:sz w:val="28"/>
          <w:szCs w:val="28"/>
        </w:rPr>
      </w:pPr>
      <w:r>
        <w:rPr>
          <w:rFonts w:hint="eastAsia"/>
          <w:sz w:val="28"/>
          <w:szCs w:val="28"/>
        </w:rPr>
        <w:t>（</w:t>
      </w:r>
      <w:r>
        <w:rPr>
          <w:sz w:val="28"/>
          <w:szCs w:val="28"/>
        </w:rPr>
        <w:t>3</w:t>
      </w:r>
      <w:r>
        <w:rPr>
          <w:rFonts w:hint="eastAsia"/>
          <w:sz w:val="28"/>
          <w:szCs w:val="28"/>
        </w:rPr>
        <w:t>）参照5</w:t>
      </w:r>
      <w:r>
        <w:rPr>
          <w:sz w:val="28"/>
          <w:szCs w:val="28"/>
        </w:rPr>
        <w:t>.1.4</w:t>
      </w:r>
      <w:r>
        <w:rPr>
          <w:rFonts w:hint="eastAsia"/>
          <w:sz w:val="28"/>
          <w:szCs w:val="28"/>
        </w:rPr>
        <w:t>规定的模型要求，模拟计算溢流污染经控制后至少近1</w:t>
      </w:r>
      <w:r>
        <w:rPr>
          <w:sz w:val="28"/>
          <w:szCs w:val="28"/>
        </w:rPr>
        <w:t>0</w:t>
      </w:r>
      <w:r>
        <w:rPr>
          <w:rFonts w:hint="eastAsia"/>
          <w:sz w:val="28"/>
          <w:szCs w:val="28"/>
        </w:rPr>
        <w:t>年的年均溢流频次是否达到规定要求。</w:t>
      </w:r>
    </w:p>
    <w:p>
      <w:pPr>
        <w:snapToGrid w:val="0"/>
        <w:spacing w:after="0" w:line="360" w:lineRule="auto"/>
        <w:contextualSpacing/>
        <w:rPr>
          <w:b/>
          <w:sz w:val="28"/>
          <w:szCs w:val="28"/>
        </w:rPr>
      </w:pPr>
      <w:r>
        <w:rPr>
          <w:rFonts w:hint="eastAsia"/>
          <w:b/>
          <w:sz w:val="28"/>
          <w:szCs w:val="28"/>
        </w:rPr>
        <w:t>5</w:t>
      </w:r>
      <w:r>
        <w:rPr>
          <w:b/>
          <w:sz w:val="28"/>
          <w:szCs w:val="28"/>
        </w:rPr>
        <w:t>.3.3</w:t>
      </w:r>
      <w:r>
        <w:rPr>
          <w:rFonts w:hint="eastAsia"/>
          <w:b/>
          <w:sz w:val="28"/>
          <w:szCs w:val="28"/>
        </w:rPr>
        <w:t>水体不黑臭</w:t>
      </w:r>
    </w:p>
    <w:p>
      <w:pPr>
        <w:snapToGrid w:val="0"/>
        <w:spacing w:after="0" w:line="360" w:lineRule="auto"/>
        <w:ind w:firstLine="560" w:firstLineChars="200"/>
        <w:contextualSpacing/>
        <w:rPr>
          <w:sz w:val="28"/>
          <w:szCs w:val="28"/>
        </w:rPr>
      </w:pPr>
      <w:r>
        <w:rPr>
          <w:rFonts w:hint="eastAsia"/>
          <w:sz w:val="28"/>
          <w:szCs w:val="28"/>
        </w:rPr>
        <w:t>采用监测法进行评价。水质评价指标与测定方法如表</w:t>
      </w:r>
      <w:r>
        <w:rPr>
          <w:sz w:val="28"/>
          <w:szCs w:val="28"/>
        </w:rPr>
        <w:t>5.3.3</w:t>
      </w:r>
      <w:r>
        <w:rPr>
          <w:rFonts w:hint="eastAsia"/>
          <w:sz w:val="28"/>
          <w:szCs w:val="28"/>
        </w:rPr>
        <w:t>所示。</w:t>
      </w:r>
    </w:p>
    <w:p>
      <w:pPr>
        <w:snapToGrid w:val="0"/>
        <w:spacing w:after="0" w:line="360" w:lineRule="auto"/>
        <w:contextualSpacing/>
        <w:jc w:val="center"/>
        <w:rPr>
          <w:rFonts w:eastAsia="黑体"/>
          <w:sz w:val="24"/>
        </w:rPr>
      </w:pPr>
      <w:r>
        <w:rPr>
          <w:rFonts w:hint="eastAsia" w:eastAsia="黑体"/>
          <w:sz w:val="24"/>
        </w:rPr>
        <w:t>表</w:t>
      </w:r>
      <w:r>
        <w:rPr>
          <w:rFonts w:eastAsia="黑体"/>
          <w:sz w:val="24"/>
        </w:rPr>
        <w:t xml:space="preserve">5.3.3 </w:t>
      </w:r>
      <w:r>
        <w:rPr>
          <w:rFonts w:hint="eastAsia" w:eastAsia="黑体"/>
          <w:sz w:val="24"/>
        </w:rPr>
        <w:t>黑臭水体水质评价指标与测定方法</w:t>
      </w:r>
    </w:p>
    <w:tbl>
      <w:tblPr>
        <w:tblStyle w:val="23"/>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4"/>
        <w:gridCol w:w="283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水质评价指标</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测定方法</w:t>
            </w:r>
          </w:p>
        </w:tc>
        <w:tc>
          <w:tcPr>
            <w:tcW w:w="2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透明度</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黑白盘法或铅字法</w:t>
            </w:r>
          </w:p>
        </w:tc>
        <w:tc>
          <w:tcPr>
            <w:tcW w:w="2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现场原位测定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2</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溶解氧</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电化学法</w:t>
            </w:r>
          </w:p>
        </w:tc>
        <w:tc>
          <w:tcPr>
            <w:tcW w:w="2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现场原位测定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3</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氧化还原电位</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电极法</w:t>
            </w:r>
          </w:p>
        </w:tc>
        <w:tc>
          <w:tcPr>
            <w:tcW w:w="2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现场原位测定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4</w:t>
            </w:r>
          </w:p>
        </w:tc>
        <w:tc>
          <w:tcPr>
            <w:tcW w:w="198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氨氮</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纳氏试剂光度法或水杨酸-次氯酸盐光度法</w:t>
            </w:r>
          </w:p>
        </w:tc>
        <w:tc>
          <w:tcPr>
            <w:tcW w:w="27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sz w:val="24"/>
              </w:rPr>
              <w:t>水样应经过 0.45μm滤膜过滤</w:t>
            </w:r>
          </w:p>
        </w:tc>
      </w:tr>
    </w:tbl>
    <w:p>
      <w:pPr>
        <w:snapToGrid w:val="0"/>
        <w:spacing w:after="0" w:line="360" w:lineRule="auto"/>
        <w:ind w:firstLine="560" w:firstLineChars="200"/>
        <w:contextualSpacing/>
        <w:rPr>
          <w:sz w:val="28"/>
          <w:szCs w:val="28"/>
        </w:rPr>
      </w:pPr>
    </w:p>
    <w:p>
      <w:pPr>
        <w:snapToGrid w:val="0"/>
        <w:spacing w:after="0" w:line="360" w:lineRule="auto"/>
        <w:ind w:firstLine="560" w:firstLineChars="200"/>
        <w:contextualSpacing/>
        <w:rPr>
          <w:sz w:val="28"/>
          <w:szCs w:val="28"/>
        </w:rPr>
      </w:pPr>
      <w:r>
        <w:rPr>
          <w:rFonts w:hint="eastAsia"/>
          <w:sz w:val="28"/>
          <w:szCs w:val="28"/>
        </w:rPr>
        <w:t>沿水体每</w:t>
      </w:r>
      <w:r>
        <w:rPr>
          <w:sz w:val="28"/>
          <w:szCs w:val="28"/>
        </w:rPr>
        <w:t>200~600m</w:t>
      </w:r>
      <w:r>
        <w:rPr>
          <w:rFonts w:hint="eastAsia"/>
          <w:sz w:val="28"/>
          <w:szCs w:val="28"/>
        </w:rPr>
        <w:t>间距设置监测点，且每个水体的监测点不应少于</w:t>
      </w:r>
      <w:r>
        <w:rPr>
          <w:sz w:val="28"/>
          <w:szCs w:val="28"/>
        </w:rPr>
        <w:t>3</w:t>
      </w:r>
      <w:r>
        <w:rPr>
          <w:rFonts w:hint="eastAsia"/>
          <w:sz w:val="28"/>
          <w:szCs w:val="28"/>
        </w:rPr>
        <w:t>个。采样点设置于水面下</w:t>
      </w:r>
      <w:r>
        <w:rPr>
          <w:sz w:val="28"/>
          <w:szCs w:val="28"/>
        </w:rPr>
        <w:t>0.5m</w:t>
      </w:r>
      <w:r>
        <w:rPr>
          <w:rFonts w:hint="eastAsia"/>
          <w:sz w:val="28"/>
          <w:szCs w:val="28"/>
        </w:rPr>
        <w:t>处，水深不足</w:t>
      </w:r>
      <w:r>
        <w:rPr>
          <w:sz w:val="28"/>
          <w:szCs w:val="28"/>
        </w:rPr>
        <w:t>0.5 m</w:t>
      </w:r>
      <w:r>
        <w:rPr>
          <w:rFonts w:hint="eastAsia"/>
          <w:sz w:val="28"/>
          <w:szCs w:val="28"/>
        </w:rPr>
        <w:t>时，应设置在水深的</w:t>
      </w:r>
      <w:r>
        <w:rPr>
          <w:sz w:val="28"/>
          <w:szCs w:val="28"/>
        </w:rPr>
        <w:t>1/2</w:t>
      </w:r>
      <w:r>
        <w:rPr>
          <w:rFonts w:hint="eastAsia"/>
          <w:sz w:val="28"/>
          <w:szCs w:val="28"/>
        </w:rPr>
        <w:t>处。</w:t>
      </w:r>
    </w:p>
    <w:p>
      <w:pPr>
        <w:snapToGrid w:val="0"/>
        <w:spacing w:after="0" w:line="360" w:lineRule="auto"/>
        <w:ind w:firstLine="560" w:firstLineChars="200"/>
        <w:contextualSpacing/>
        <w:rPr>
          <w:sz w:val="28"/>
          <w:szCs w:val="28"/>
        </w:rPr>
      </w:pPr>
      <w:r>
        <w:rPr>
          <w:rFonts w:hint="eastAsia"/>
          <w:sz w:val="28"/>
          <w:szCs w:val="28"/>
        </w:rPr>
        <w:t>每</w:t>
      </w:r>
      <w:r>
        <w:rPr>
          <w:sz w:val="28"/>
          <w:szCs w:val="28"/>
        </w:rPr>
        <w:t>1~2</w:t>
      </w:r>
      <w:r>
        <w:rPr>
          <w:rFonts w:hint="eastAsia"/>
          <w:sz w:val="28"/>
          <w:szCs w:val="28"/>
        </w:rPr>
        <w:t>周取样至少</w:t>
      </w:r>
      <w:r>
        <w:rPr>
          <w:sz w:val="28"/>
          <w:szCs w:val="28"/>
        </w:rPr>
        <w:t>1</w:t>
      </w:r>
      <w:r>
        <w:rPr>
          <w:rFonts w:hint="eastAsia"/>
          <w:sz w:val="28"/>
          <w:szCs w:val="28"/>
        </w:rPr>
        <w:t>次，且降雨结束后</w:t>
      </w:r>
      <w:r>
        <w:rPr>
          <w:sz w:val="28"/>
          <w:szCs w:val="28"/>
        </w:rPr>
        <w:t>2</w:t>
      </w:r>
      <w:r>
        <w:rPr>
          <w:rFonts w:hint="eastAsia"/>
          <w:sz w:val="28"/>
          <w:szCs w:val="28"/>
        </w:rPr>
        <w:t>日内应至少取样一次；连续测定</w:t>
      </w:r>
      <w:r>
        <w:rPr>
          <w:sz w:val="28"/>
          <w:szCs w:val="28"/>
        </w:rPr>
        <w:t>1</w:t>
      </w:r>
      <w:r>
        <w:rPr>
          <w:rFonts w:hint="eastAsia"/>
          <w:sz w:val="28"/>
          <w:szCs w:val="28"/>
        </w:rPr>
        <w:t>年，或在枯水期、丰水期各至少连续监测</w:t>
      </w:r>
      <w:r>
        <w:rPr>
          <w:sz w:val="28"/>
          <w:szCs w:val="28"/>
        </w:rPr>
        <w:t>40</w:t>
      </w:r>
      <w:r>
        <w:rPr>
          <w:rFonts w:hint="eastAsia"/>
          <w:sz w:val="28"/>
          <w:szCs w:val="28"/>
        </w:rPr>
        <w:t>天。</w:t>
      </w:r>
    </w:p>
    <w:p>
      <w:pPr>
        <w:snapToGrid w:val="0"/>
        <w:spacing w:after="0" w:line="360" w:lineRule="auto"/>
        <w:ind w:firstLine="563"/>
        <w:contextualSpacing/>
        <w:rPr>
          <w:sz w:val="28"/>
          <w:szCs w:val="28"/>
        </w:rPr>
      </w:pPr>
      <w:r>
        <w:rPr>
          <w:rFonts w:hint="eastAsia"/>
          <w:sz w:val="28"/>
          <w:szCs w:val="28"/>
        </w:rPr>
        <w:t>各监测点、各水质指标的月平均值满足表</w:t>
      </w:r>
      <w:r>
        <w:rPr>
          <w:sz w:val="28"/>
          <w:szCs w:val="28"/>
        </w:rPr>
        <w:t>4.0.1</w:t>
      </w:r>
      <w:r>
        <w:rPr>
          <w:rFonts w:hint="eastAsia"/>
          <w:sz w:val="28"/>
          <w:szCs w:val="28"/>
        </w:rPr>
        <w:t>中对应指标要求，且不劣于海绵城市建设前的水质，河流水系旱天上下游断面水质不劣于上游来水水质。</w:t>
      </w:r>
    </w:p>
    <w:p>
      <w:pPr>
        <w:pStyle w:val="3"/>
        <w:jc w:val="center"/>
        <w:rPr>
          <w:rFonts w:ascii="Times New Roman" w:hAnsi="Times New Roman"/>
          <w:b w:val="0"/>
          <w:sz w:val="30"/>
          <w:szCs w:val="30"/>
        </w:rPr>
      </w:pPr>
      <w:bookmarkStart w:id="21" w:name="_Toc513495653"/>
      <w:bookmarkStart w:id="22" w:name="_Toc517339210"/>
      <w:r>
        <w:rPr>
          <w:rFonts w:ascii="Times New Roman" w:hAnsi="Times New Roman"/>
          <w:b w:val="0"/>
          <w:sz w:val="30"/>
          <w:szCs w:val="30"/>
        </w:rPr>
        <w:t xml:space="preserve">5.4 </w:t>
      </w:r>
      <w:r>
        <w:rPr>
          <w:rFonts w:hint="eastAsia" w:ascii="Times New Roman" w:hAnsi="Times New Roman"/>
          <w:b w:val="0"/>
          <w:sz w:val="30"/>
          <w:szCs w:val="30"/>
        </w:rPr>
        <w:t>项目实施有效性</w:t>
      </w:r>
      <w:bookmarkEnd w:id="21"/>
      <w:bookmarkEnd w:id="22"/>
    </w:p>
    <w:p>
      <w:pPr>
        <w:tabs>
          <w:tab w:val="left" w:pos="2886"/>
        </w:tabs>
        <w:snapToGrid w:val="0"/>
        <w:spacing w:after="0" w:line="360" w:lineRule="auto"/>
        <w:contextualSpacing/>
        <w:rPr>
          <w:b/>
          <w:sz w:val="28"/>
          <w:szCs w:val="28"/>
        </w:rPr>
      </w:pPr>
      <w:r>
        <w:rPr>
          <w:b/>
          <w:sz w:val="28"/>
          <w:szCs w:val="28"/>
        </w:rPr>
        <w:t>5.4.1</w:t>
      </w:r>
      <w:r>
        <w:rPr>
          <w:rFonts w:hint="eastAsia"/>
          <w:b/>
          <w:sz w:val="28"/>
          <w:szCs w:val="28"/>
        </w:rPr>
        <w:t>建筑小区</w:t>
      </w:r>
    </w:p>
    <w:p>
      <w:pPr>
        <w:snapToGrid w:val="0"/>
        <w:spacing w:after="0" w:line="360" w:lineRule="auto"/>
        <w:ind w:firstLine="565" w:firstLineChars="202"/>
        <w:contextualSpacing/>
        <w:rPr>
          <w:sz w:val="28"/>
          <w:szCs w:val="28"/>
        </w:rPr>
      </w:pPr>
      <w:r>
        <w:rPr>
          <w:rFonts w:hint="eastAsia"/>
          <w:sz w:val="28"/>
          <w:szCs w:val="28"/>
        </w:rPr>
        <w:t>（</w:t>
      </w:r>
      <w:r>
        <w:rPr>
          <w:sz w:val="28"/>
          <w:szCs w:val="28"/>
        </w:rPr>
        <w:t>1</w:t>
      </w:r>
      <w:r>
        <w:rPr>
          <w:rFonts w:hint="eastAsia"/>
          <w:sz w:val="28"/>
          <w:szCs w:val="28"/>
        </w:rPr>
        <w:t>）雨水年径流总量控制率及其径流体积（海绵体）控制参照</w:t>
      </w:r>
      <w:r>
        <w:rPr>
          <w:sz w:val="28"/>
          <w:szCs w:val="28"/>
        </w:rPr>
        <w:t>5.1</w:t>
      </w:r>
      <w:r>
        <w:rPr>
          <w:rFonts w:hint="eastAsia"/>
          <w:sz w:val="28"/>
          <w:szCs w:val="28"/>
        </w:rPr>
        <w:t>进行评价。</w:t>
      </w:r>
    </w:p>
    <w:p>
      <w:pPr>
        <w:snapToGrid w:val="0"/>
        <w:spacing w:after="0" w:line="360" w:lineRule="auto"/>
        <w:ind w:firstLine="560" w:firstLineChars="200"/>
        <w:contextualSpacing/>
        <w:rPr>
          <w:sz w:val="28"/>
          <w:szCs w:val="28"/>
        </w:rPr>
      </w:pPr>
      <w:r>
        <w:rPr>
          <w:rFonts w:hint="eastAsia"/>
          <w:sz w:val="28"/>
          <w:szCs w:val="28"/>
        </w:rPr>
        <w:t>（</w:t>
      </w:r>
      <w:r>
        <w:rPr>
          <w:sz w:val="28"/>
          <w:szCs w:val="28"/>
        </w:rPr>
        <w:t>2</w:t>
      </w:r>
      <w:r>
        <w:rPr>
          <w:rFonts w:hint="eastAsia"/>
          <w:sz w:val="28"/>
          <w:szCs w:val="28"/>
        </w:rPr>
        <w:t>）径流污染控制采用设计施工资料查阅与现场检查相结合的方法进行评价，查看设施的设计构造、径流控制体积、排空时间、运行工况、植物配置等能否保证S</w:t>
      </w:r>
      <w:r>
        <w:rPr>
          <w:sz w:val="28"/>
          <w:szCs w:val="28"/>
        </w:rPr>
        <w:t>S</w:t>
      </w:r>
      <w:r>
        <w:rPr>
          <w:rFonts w:hint="eastAsia"/>
          <w:sz w:val="28"/>
          <w:szCs w:val="28"/>
        </w:rPr>
        <w:t>去除率达到规定要求，且排空时间不得超过植物的耐淹时间。</w:t>
      </w:r>
    </w:p>
    <w:p>
      <w:pPr>
        <w:snapToGrid w:val="0"/>
        <w:spacing w:after="0" w:line="360" w:lineRule="auto"/>
        <w:ind w:firstLine="560" w:firstLineChars="200"/>
        <w:contextualSpacing/>
        <w:rPr>
          <w:sz w:val="28"/>
          <w:szCs w:val="28"/>
        </w:rPr>
      </w:pPr>
      <w:r>
        <w:rPr>
          <w:rFonts w:hint="eastAsia"/>
          <w:sz w:val="28"/>
          <w:szCs w:val="28"/>
        </w:rPr>
        <w:t>对于除砂、去油污等专用设施，其水质处理能力等达到规定要求。</w:t>
      </w:r>
    </w:p>
    <w:p>
      <w:pPr>
        <w:snapToGrid w:val="0"/>
        <w:spacing w:after="0" w:line="360" w:lineRule="auto"/>
        <w:ind w:firstLine="570"/>
        <w:contextualSpacing/>
        <w:rPr>
          <w:rFonts w:ascii="宋体" w:hAnsi="宋体"/>
          <w:sz w:val="28"/>
          <w:szCs w:val="28"/>
        </w:rPr>
      </w:pPr>
      <w:r>
        <w:rPr>
          <w:rFonts w:hint="eastAsia"/>
          <w:sz w:val="28"/>
          <w:szCs w:val="28"/>
        </w:rPr>
        <w:t>（</w:t>
      </w:r>
      <w:r>
        <w:rPr>
          <w:sz w:val="28"/>
          <w:szCs w:val="28"/>
        </w:rPr>
        <w:t>3</w:t>
      </w:r>
      <w:r>
        <w:rPr>
          <w:rFonts w:hint="eastAsia"/>
          <w:sz w:val="28"/>
          <w:szCs w:val="28"/>
        </w:rPr>
        <w:t>）径流峰值控制采用设计与模型模拟评估资料查阅与现场检查相结合的方法进行评价，外排径流峰值流量是否达到规定要求。</w:t>
      </w:r>
    </w:p>
    <w:p>
      <w:pPr>
        <w:snapToGrid w:val="0"/>
        <w:spacing w:after="0" w:line="360" w:lineRule="auto"/>
        <w:ind w:firstLine="560" w:firstLineChars="200"/>
        <w:contextualSpacing/>
        <w:rPr>
          <w:sz w:val="28"/>
          <w:szCs w:val="28"/>
        </w:rPr>
      </w:pPr>
      <w:r>
        <w:rPr>
          <w:rFonts w:hint="eastAsia" w:ascii="宋体" w:hAnsi="宋体"/>
          <w:sz w:val="28"/>
          <w:szCs w:val="28"/>
        </w:rPr>
        <w:t>（4）</w:t>
      </w:r>
      <w:r>
        <w:rPr>
          <w:rFonts w:hint="eastAsia"/>
          <w:sz w:val="28"/>
          <w:szCs w:val="28"/>
        </w:rPr>
        <w:t>可渗透地面率采用设计施工资料查阅与现场检查相结合的方法进行评价，</w:t>
      </w:r>
      <w:r>
        <w:rPr>
          <w:rFonts w:hint="eastAsia" w:ascii="宋体" w:hAnsi="宋体"/>
          <w:sz w:val="28"/>
          <w:szCs w:val="28"/>
        </w:rPr>
        <w:t>是否达到规定要求</w:t>
      </w:r>
      <w:r>
        <w:rPr>
          <w:rFonts w:hint="eastAsia"/>
          <w:sz w:val="28"/>
          <w:szCs w:val="28"/>
        </w:rPr>
        <w:t>。</w:t>
      </w:r>
    </w:p>
    <w:p>
      <w:pPr>
        <w:snapToGrid w:val="0"/>
        <w:spacing w:after="0" w:line="360" w:lineRule="auto"/>
        <w:ind w:firstLine="560" w:firstLineChars="200"/>
        <w:contextualSpacing/>
        <w:rPr>
          <w:rFonts w:ascii="宋体" w:hAnsi="宋体"/>
          <w:sz w:val="28"/>
          <w:szCs w:val="28"/>
        </w:rPr>
      </w:pPr>
      <w:r>
        <w:rPr>
          <w:rFonts w:hint="eastAsia" w:ascii="宋体" w:hAnsi="宋体"/>
          <w:sz w:val="28"/>
          <w:szCs w:val="28"/>
        </w:rPr>
        <w:t>可渗透地面率为除屋面和机动车道外可渗透地面的比重。</w:t>
      </w:r>
    </w:p>
    <w:p>
      <w:pPr>
        <w:snapToGrid w:val="0"/>
        <w:spacing w:after="0" w:line="360" w:lineRule="auto"/>
        <w:contextualSpacing/>
        <w:rPr>
          <w:b/>
          <w:sz w:val="28"/>
          <w:szCs w:val="28"/>
        </w:rPr>
      </w:pPr>
      <w:r>
        <w:rPr>
          <w:b/>
          <w:sz w:val="28"/>
          <w:szCs w:val="28"/>
        </w:rPr>
        <w:t>5.4.2</w:t>
      </w:r>
      <w:r>
        <w:rPr>
          <w:rFonts w:hint="eastAsia"/>
          <w:b/>
          <w:sz w:val="28"/>
          <w:szCs w:val="28"/>
        </w:rPr>
        <w:t>道路、停车场及广场</w:t>
      </w:r>
    </w:p>
    <w:p>
      <w:pPr>
        <w:snapToGrid w:val="0"/>
        <w:spacing w:after="0" w:line="360" w:lineRule="auto"/>
        <w:ind w:firstLine="560" w:firstLineChars="200"/>
        <w:contextualSpacing/>
        <w:rPr>
          <w:sz w:val="28"/>
          <w:szCs w:val="28"/>
        </w:rPr>
      </w:pPr>
      <w:r>
        <w:rPr>
          <w:rFonts w:hint="eastAsia"/>
          <w:sz w:val="28"/>
          <w:szCs w:val="28"/>
        </w:rPr>
        <w:t>（1）雨水年径流总量控制率及其对应的径流体积（海绵体）控制参照5</w:t>
      </w:r>
      <w:r>
        <w:rPr>
          <w:sz w:val="28"/>
          <w:szCs w:val="28"/>
        </w:rPr>
        <w:t>.1</w:t>
      </w:r>
      <w:r>
        <w:rPr>
          <w:rFonts w:hint="eastAsia"/>
          <w:sz w:val="28"/>
          <w:szCs w:val="28"/>
        </w:rPr>
        <w:t>进行评价。</w:t>
      </w:r>
    </w:p>
    <w:p>
      <w:pPr>
        <w:snapToGrid w:val="0"/>
        <w:spacing w:after="0" w:line="360" w:lineRule="auto"/>
        <w:ind w:firstLine="560" w:firstLineChars="200"/>
        <w:contextualSpacing/>
        <w:rPr>
          <w:sz w:val="28"/>
          <w:szCs w:val="28"/>
        </w:rPr>
      </w:pPr>
      <w:r>
        <w:rPr>
          <w:rFonts w:hint="eastAsia"/>
          <w:sz w:val="28"/>
          <w:szCs w:val="28"/>
        </w:rPr>
        <w:t>（2）径流污染、径流峰值控制参照</w:t>
      </w:r>
      <w:r>
        <w:rPr>
          <w:sz w:val="28"/>
          <w:szCs w:val="28"/>
        </w:rPr>
        <w:t>5.4.1</w:t>
      </w:r>
      <w:r>
        <w:rPr>
          <w:rFonts w:hint="eastAsia"/>
          <w:sz w:val="28"/>
          <w:szCs w:val="28"/>
        </w:rPr>
        <w:t>进行评价。</w:t>
      </w:r>
    </w:p>
    <w:p>
      <w:pPr>
        <w:snapToGrid w:val="0"/>
        <w:spacing w:after="0" w:line="360" w:lineRule="auto"/>
        <w:ind w:firstLine="560" w:firstLineChars="200"/>
        <w:contextualSpacing/>
        <w:rPr>
          <w:sz w:val="28"/>
          <w:szCs w:val="28"/>
        </w:rPr>
      </w:pPr>
      <w:r>
        <w:rPr>
          <w:rFonts w:hint="eastAsia"/>
          <w:sz w:val="28"/>
          <w:szCs w:val="28"/>
        </w:rPr>
        <w:t>（3）道路排水行泄功能采用设计施工资料查阅与现场检查相结合的方法进行评价，</w:t>
      </w:r>
      <w:r>
        <w:rPr>
          <w:rFonts w:hint="eastAsia" w:ascii="宋体" w:hAnsi="宋体"/>
          <w:sz w:val="28"/>
          <w:szCs w:val="28"/>
        </w:rPr>
        <w:t>是否达到规定要求</w:t>
      </w:r>
      <w:r>
        <w:rPr>
          <w:rFonts w:hint="eastAsia"/>
          <w:sz w:val="28"/>
          <w:szCs w:val="28"/>
        </w:rPr>
        <w:t>。</w:t>
      </w:r>
    </w:p>
    <w:p>
      <w:pPr>
        <w:snapToGrid w:val="0"/>
        <w:spacing w:after="0" w:line="360" w:lineRule="auto"/>
        <w:contextualSpacing/>
        <w:rPr>
          <w:b/>
          <w:sz w:val="28"/>
          <w:szCs w:val="28"/>
        </w:rPr>
      </w:pPr>
      <w:r>
        <w:rPr>
          <w:b/>
          <w:sz w:val="28"/>
          <w:szCs w:val="28"/>
        </w:rPr>
        <w:t>5.4.3</w:t>
      </w:r>
      <w:r>
        <w:rPr>
          <w:rFonts w:hint="eastAsia"/>
          <w:b/>
          <w:sz w:val="28"/>
          <w:szCs w:val="28"/>
        </w:rPr>
        <w:t>公园绿地与防护绿地</w:t>
      </w:r>
    </w:p>
    <w:p>
      <w:pPr>
        <w:snapToGrid w:val="0"/>
        <w:spacing w:after="0" w:line="360" w:lineRule="auto"/>
        <w:ind w:firstLine="563"/>
        <w:contextualSpacing/>
        <w:rPr>
          <w:sz w:val="28"/>
          <w:szCs w:val="28"/>
        </w:rPr>
      </w:pPr>
      <w:r>
        <w:rPr>
          <w:rFonts w:hint="eastAsia"/>
          <w:sz w:val="28"/>
          <w:szCs w:val="28"/>
        </w:rPr>
        <w:t>（</w:t>
      </w:r>
      <w:r>
        <w:rPr>
          <w:sz w:val="28"/>
          <w:szCs w:val="28"/>
        </w:rPr>
        <w:t>1</w:t>
      </w:r>
      <w:r>
        <w:rPr>
          <w:rFonts w:hint="eastAsia"/>
          <w:sz w:val="28"/>
          <w:szCs w:val="28"/>
        </w:rPr>
        <w:t>）雨水年径流总量控制率及其对应的径流体积（海绵体）控制参照</w:t>
      </w:r>
      <w:r>
        <w:rPr>
          <w:sz w:val="28"/>
          <w:szCs w:val="28"/>
        </w:rPr>
        <w:t>5.1</w:t>
      </w:r>
      <w:r>
        <w:rPr>
          <w:rFonts w:hint="eastAsia"/>
          <w:sz w:val="28"/>
          <w:szCs w:val="28"/>
        </w:rPr>
        <w:t>进行评价。</w:t>
      </w:r>
    </w:p>
    <w:p>
      <w:pPr>
        <w:snapToGrid w:val="0"/>
        <w:spacing w:after="0" w:line="360" w:lineRule="auto"/>
        <w:ind w:firstLine="563"/>
        <w:contextualSpacing/>
        <w:rPr>
          <w:sz w:val="28"/>
          <w:szCs w:val="28"/>
        </w:rPr>
      </w:pPr>
      <w:r>
        <w:rPr>
          <w:rFonts w:hint="eastAsia"/>
          <w:sz w:val="28"/>
          <w:szCs w:val="28"/>
        </w:rPr>
        <w:t>（</w:t>
      </w:r>
      <w:r>
        <w:rPr>
          <w:sz w:val="28"/>
          <w:szCs w:val="28"/>
        </w:rPr>
        <w:t>2</w:t>
      </w:r>
      <w:r>
        <w:rPr>
          <w:rFonts w:hint="eastAsia"/>
          <w:sz w:val="28"/>
          <w:szCs w:val="28"/>
        </w:rPr>
        <w:t>）公园绿地与防护绿地控制周边区域雨水径流采用资料查阅与现场检查相结合的方法进行评价，项目控制区面积、设施规模达到规定要求。</w:t>
      </w:r>
    </w:p>
    <w:p>
      <w:pPr>
        <w:pStyle w:val="3"/>
        <w:jc w:val="center"/>
        <w:rPr>
          <w:rFonts w:ascii="Times New Roman" w:hAnsi="Times New Roman"/>
          <w:b w:val="0"/>
          <w:sz w:val="30"/>
          <w:szCs w:val="30"/>
        </w:rPr>
      </w:pPr>
      <w:bookmarkStart w:id="23" w:name="_Toc517339211"/>
      <w:bookmarkStart w:id="24" w:name="_Toc513495649"/>
      <w:r>
        <w:rPr>
          <w:rFonts w:ascii="Times New Roman" w:hAnsi="Times New Roman"/>
          <w:b w:val="0"/>
          <w:sz w:val="30"/>
          <w:szCs w:val="30"/>
        </w:rPr>
        <w:t xml:space="preserve">5.5 </w:t>
      </w:r>
      <w:r>
        <w:rPr>
          <w:rFonts w:hint="eastAsia" w:ascii="Times New Roman" w:hAnsi="Times New Roman"/>
          <w:b w:val="0"/>
          <w:sz w:val="30"/>
          <w:szCs w:val="30"/>
        </w:rPr>
        <w:t>自然生态格局管控与水体生态岸线保护</w:t>
      </w:r>
      <w:bookmarkEnd w:id="23"/>
      <w:bookmarkEnd w:id="24"/>
    </w:p>
    <w:p>
      <w:pPr>
        <w:snapToGrid w:val="0"/>
        <w:spacing w:after="0" w:line="360" w:lineRule="auto"/>
        <w:contextualSpacing/>
        <w:rPr>
          <w:sz w:val="28"/>
          <w:szCs w:val="28"/>
        </w:rPr>
      </w:pPr>
      <w:r>
        <w:rPr>
          <w:b/>
          <w:sz w:val="28"/>
          <w:szCs w:val="28"/>
        </w:rPr>
        <w:t>5.5.1</w:t>
      </w:r>
      <w:r>
        <w:rPr>
          <w:rFonts w:hint="eastAsia"/>
          <w:b/>
          <w:sz w:val="28"/>
          <w:szCs w:val="28"/>
        </w:rPr>
        <w:t>自然生态格局管控</w:t>
      </w:r>
    </w:p>
    <w:p>
      <w:pPr>
        <w:snapToGrid w:val="0"/>
        <w:spacing w:after="0" w:line="360" w:lineRule="auto"/>
        <w:contextualSpacing/>
        <w:rPr>
          <w:sz w:val="28"/>
          <w:szCs w:val="28"/>
        </w:rPr>
      </w:pPr>
      <w:r>
        <w:rPr>
          <w:rFonts w:hint="eastAsia"/>
          <w:sz w:val="28"/>
          <w:szCs w:val="28"/>
        </w:rPr>
        <w:t xml:space="preserve"> </w:t>
      </w:r>
      <w:r>
        <w:rPr>
          <w:sz w:val="28"/>
          <w:szCs w:val="28"/>
        </w:rPr>
        <w:t xml:space="preserve">   </w:t>
      </w:r>
      <w:r>
        <w:rPr>
          <w:rFonts w:hint="eastAsia"/>
          <w:sz w:val="28"/>
          <w:szCs w:val="28"/>
        </w:rPr>
        <w:t>采用资料查阅和现场检查相结合的方法进行评价。</w:t>
      </w:r>
    </w:p>
    <w:p>
      <w:pPr>
        <w:snapToGrid w:val="0"/>
        <w:spacing w:after="0" w:line="360" w:lineRule="auto"/>
        <w:ind w:firstLine="563"/>
        <w:contextualSpacing/>
        <w:rPr>
          <w:sz w:val="28"/>
          <w:szCs w:val="28"/>
        </w:rPr>
      </w:pPr>
      <w:r>
        <w:rPr>
          <w:rFonts w:hint="eastAsia"/>
          <w:sz w:val="28"/>
          <w:szCs w:val="28"/>
        </w:rPr>
        <w:t>（1）查阅城市总体规划与相关专项规划、城市蓝线绿线保护办法等制度文件，以及城市开发建设前及现状的高分辨率遥感影像图。</w:t>
      </w:r>
    </w:p>
    <w:p>
      <w:pPr>
        <w:snapToGrid w:val="0"/>
        <w:spacing w:after="0" w:line="360" w:lineRule="auto"/>
        <w:ind w:firstLine="570"/>
        <w:contextualSpacing/>
        <w:rPr>
          <w:sz w:val="28"/>
          <w:szCs w:val="28"/>
        </w:rPr>
      </w:pPr>
      <w:r>
        <w:rPr>
          <w:rFonts w:hint="eastAsia"/>
          <w:sz w:val="28"/>
          <w:szCs w:val="28"/>
        </w:rPr>
        <w:t>（2）现场检查自然山水格局、天然行洪通道、洪泛区和湿地、林地、草地等生态敏感区及蓝绿线、生态红线管控范围。</w:t>
      </w:r>
    </w:p>
    <w:p>
      <w:pPr>
        <w:snapToGrid w:val="0"/>
        <w:spacing w:after="0" w:line="360" w:lineRule="auto"/>
        <w:ind w:firstLine="563"/>
        <w:contextualSpacing/>
        <w:rPr>
          <w:sz w:val="28"/>
          <w:szCs w:val="28"/>
        </w:rPr>
      </w:pPr>
      <w:r>
        <w:rPr>
          <w:rFonts w:hint="eastAsia"/>
          <w:sz w:val="28"/>
          <w:szCs w:val="28"/>
        </w:rPr>
        <w:t>城市建设前后天然水域面积未改变，自然山水格局与自然地形地貌形成的汇水分区未改变，天然行洪通道、洪泛区和湿地等生态敏感区未被侵占。达到相关规划的管控要求。</w:t>
      </w:r>
    </w:p>
    <w:p>
      <w:pPr>
        <w:snapToGrid w:val="0"/>
        <w:spacing w:after="0" w:line="360" w:lineRule="auto"/>
        <w:contextualSpacing/>
        <w:rPr>
          <w:b/>
          <w:sz w:val="28"/>
          <w:szCs w:val="28"/>
        </w:rPr>
      </w:pPr>
      <w:r>
        <w:rPr>
          <w:b/>
          <w:sz w:val="28"/>
          <w:szCs w:val="28"/>
        </w:rPr>
        <w:t>5.5.2</w:t>
      </w:r>
      <w:r>
        <w:rPr>
          <w:rFonts w:hint="eastAsia"/>
          <w:b/>
          <w:sz w:val="28"/>
          <w:szCs w:val="28"/>
        </w:rPr>
        <w:t>水体生态岸线保护</w:t>
      </w:r>
    </w:p>
    <w:p>
      <w:pPr>
        <w:snapToGrid w:val="0"/>
        <w:spacing w:after="0" w:line="360" w:lineRule="auto"/>
        <w:contextualSpacing/>
        <w:rPr>
          <w:sz w:val="28"/>
          <w:szCs w:val="28"/>
        </w:rPr>
      </w:pPr>
      <w:r>
        <w:rPr>
          <w:rFonts w:hint="eastAsia"/>
          <w:sz w:val="28"/>
          <w:szCs w:val="28"/>
        </w:rPr>
        <w:t xml:space="preserve"> </w:t>
      </w:r>
      <w:r>
        <w:rPr>
          <w:sz w:val="28"/>
          <w:szCs w:val="28"/>
        </w:rPr>
        <w:t xml:space="preserve">   </w:t>
      </w:r>
      <w:r>
        <w:rPr>
          <w:rFonts w:hint="eastAsia"/>
          <w:sz w:val="28"/>
          <w:szCs w:val="28"/>
        </w:rPr>
        <w:t>查阅新建、改建、扩建城市水体项目设计施工文件，明确生态岸线的长度与占比。现场检查生态岸线实施情况。</w:t>
      </w:r>
    </w:p>
    <w:p>
      <w:pPr>
        <w:snapToGrid w:val="0"/>
        <w:spacing w:after="0" w:line="360" w:lineRule="auto"/>
        <w:ind w:firstLine="570"/>
        <w:contextualSpacing/>
        <w:rPr>
          <w:sz w:val="28"/>
          <w:szCs w:val="28"/>
        </w:rPr>
      </w:pPr>
      <w:r>
        <w:rPr>
          <w:rFonts w:hint="eastAsia"/>
          <w:sz w:val="28"/>
          <w:szCs w:val="28"/>
        </w:rPr>
        <w:t>新建、改建、扩建水体岸线中生态岸线的长度达到规定要求。</w:t>
      </w:r>
    </w:p>
    <w:p>
      <w:pPr>
        <w:snapToGrid w:val="0"/>
        <w:spacing w:after="0" w:line="360" w:lineRule="auto"/>
        <w:ind w:firstLine="570"/>
        <w:contextualSpacing/>
        <w:rPr>
          <w:sz w:val="28"/>
          <w:szCs w:val="28"/>
        </w:rPr>
      </w:pPr>
      <w:r>
        <w:rPr>
          <w:rFonts w:hint="eastAsia"/>
          <w:sz w:val="28"/>
          <w:szCs w:val="28"/>
        </w:rPr>
        <w:t>新建、改建、扩建水体生态岸线率</w:t>
      </w:r>
      <w:r>
        <w:rPr>
          <w:sz w:val="28"/>
          <w:szCs w:val="28"/>
        </w:rPr>
        <w:t>=</w:t>
      </w:r>
      <w:r>
        <w:rPr>
          <w:rFonts w:hint="eastAsia"/>
          <w:sz w:val="28"/>
          <w:szCs w:val="28"/>
        </w:rPr>
        <w:t>新建、改建、扩建水体生态岸线长度</w:t>
      </w:r>
      <w:r>
        <w:rPr>
          <w:sz w:val="28"/>
          <w:szCs w:val="28"/>
        </w:rPr>
        <w:t>/</w:t>
      </w:r>
      <w:r>
        <w:rPr>
          <w:rFonts w:hint="eastAsia"/>
          <w:sz w:val="28"/>
          <w:szCs w:val="28"/>
        </w:rPr>
        <w:t>（新建、改建、扩建水体岸线总长度－必要的生产岸线及防洪岸线长度）。</w:t>
      </w:r>
    </w:p>
    <w:p>
      <w:pPr>
        <w:pStyle w:val="3"/>
        <w:jc w:val="center"/>
        <w:rPr>
          <w:rFonts w:ascii="Times New Roman" w:hAnsi="Times New Roman"/>
          <w:b w:val="0"/>
          <w:sz w:val="30"/>
          <w:szCs w:val="30"/>
        </w:rPr>
      </w:pPr>
      <w:bookmarkStart w:id="25" w:name="_Toc517339212"/>
      <w:r>
        <w:rPr>
          <w:rFonts w:ascii="Times New Roman" w:hAnsi="Times New Roman"/>
          <w:b w:val="0"/>
          <w:sz w:val="30"/>
          <w:szCs w:val="30"/>
        </w:rPr>
        <w:t xml:space="preserve">5.6 </w:t>
      </w:r>
      <w:r>
        <w:rPr>
          <w:rFonts w:hint="eastAsia" w:ascii="Times New Roman" w:hAnsi="Times New Roman"/>
          <w:b w:val="0"/>
          <w:sz w:val="30"/>
          <w:szCs w:val="30"/>
        </w:rPr>
        <w:t>地下水埋深变化趋势</w:t>
      </w:r>
      <w:bookmarkEnd w:id="25"/>
    </w:p>
    <w:p>
      <w:pPr>
        <w:snapToGrid w:val="0"/>
        <w:spacing w:after="0" w:line="360" w:lineRule="auto"/>
        <w:ind w:firstLine="563"/>
        <w:contextualSpacing/>
        <w:rPr>
          <w:sz w:val="28"/>
          <w:szCs w:val="28"/>
        </w:rPr>
      </w:pPr>
      <w:r>
        <w:rPr>
          <w:rFonts w:hint="eastAsia" w:ascii="宋体" w:hAnsi="宋体"/>
          <w:sz w:val="28"/>
          <w:szCs w:val="28"/>
        </w:rPr>
        <w:t>按照</w:t>
      </w:r>
      <w:r>
        <w:rPr>
          <w:rFonts w:hint="eastAsia"/>
          <w:sz w:val="28"/>
          <w:szCs w:val="28"/>
        </w:rPr>
        <w:t>《地下水监测工程技术规范》（</w:t>
      </w:r>
      <w:r>
        <w:rPr>
          <w:sz w:val="28"/>
          <w:szCs w:val="28"/>
        </w:rPr>
        <w:t>GB/T 51040</w:t>
      </w:r>
      <w:r>
        <w:rPr>
          <w:rFonts w:hint="eastAsia"/>
          <w:sz w:val="28"/>
          <w:szCs w:val="28"/>
        </w:rPr>
        <w:t>）规定的方法，监测城市建成区地下水潜水水位变化情况，对海绵城市缓解地下水潜水水位下降情况进行评价。</w:t>
      </w:r>
    </w:p>
    <w:p>
      <w:pPr>
        <w:snapToGrid w:val="0"/>
        <w:spacing w:after="0" w:line="360" w:lineRule="auto"/>
        <w:ind w:firstLine="560" w:firstLineChars="200"/>
        <w:contextualSpacing/>
        <w:jc w:val="left"/>
        <w:rPr>
          <w:sz w:val="28"/>
          <w:szCs w:val="28"/>
        </w:rPr>
      </w:pPr>
      <w:r>
        <w:rPr>
          <w:rFonts w:hint="eastAsia"/>
          <w:sz w:val="28"/>
          <w:szCs w:val="28"/>
        </w:rPr>
        <w:t>将海绵城市建设前建成区地下水潜水水位的平均降幅</w:t>
      </w:r>
      <w:r>
        <w:rPr>
          <w:rFonts w:hint="eastAsia"/>
          <w:i/>
          <w:sz w:val="28"/>
          <w:szCs w:val="28"/>
        </w:rPr>
        <w:t>Δ</w:t>
      </w:r>
      <w:r>
        <w:rPr>
          <w:i/>
          <w:sz w:val="28"/>
          <w:szCs w:val="28"/>
        </w:rPr>
        <w:t>h</w:t>
      </w:r>
      <w:r>
        <w:rPr>
          <w:sz w:val="28"/>
          <w:szCs w:val="28"/>
          <w:vertAlign w:val="subscript"/>
        </w:rPr>
        <w:t>1</w:t>
      </w:r>
      <w:r>
        <w:rPr>
          <w:rFonts w:hint="eastAsia"/>
          <w:sz w:val="28"/>
          <w:szCs w:val="28"/>
        </w:rPr>
        <w:t>与建设后建成区地下水潜水水位的平均降幅</w:t>
      </w:r>
      <w:r>
        <w:rPr>
          <w:rFonts w:hint="eastAsia"/>
          <w:i/>
          <w:sz w:val="28"/>
          <w:szCs w:val="28"/>
        </w:rPr>
        <w:t>Δ</w:t>
      </w:r>
      <w:r>
        <w:rPr>
          <w:i/>
          <w:sz w:val="28"/>
          <w:szCs w:val="28"/>
        </w:rPr>
        <w:t>h</w:t>
      </w:r>
      <w:r>
        <w:rPr>
          <w:i/>
          <w:sz w:val="28"/>
          <w:szCs w:val="28"/>
          <w:vertAlign w:val="subscript"/>
        </w:rPr>
        <w:t>2</w:t>
      </w:r>
      <w:r>
        <w:rPr>
          <w:rFonts w:hint="eastAsia"/>
          <w:sz w:val="28"/>
          <w:szCs w:val="28"/>
        </w:rPr>
        <w:t>进行比较，</w:t>
      </w:r>
      <w:r>
        <w:rPr>
          <w:rFonts w:hint="eastAsia"/>
          <w:i/>
          <w:sz w:val="28"/>
          <w:szCs w:val="28"/>
        </w:rPr>
        <w:t>Δ</w:t>
      </w:r>
      <w:r>
        <w:rPr>
          <w:i/>
          <w:sz w:val="28"/>
          <w:szCs w:val="28"/>
        </w:rPr>
        <w:t>h</w:t>
      </w:r>
      <w:r>
        <w:rPr>
          <w:sz w:val="28"/>
          <w:szCs w:val="28"/>
          <w:vertAlign w:val="subscript"/>
        </w:rPr>
        <w:t>1</w:t>
      </w:r>
      <w:r>
        <w:rPr>
          <w:sz w:val="28"/>
          <w:szCs w:val="28"/>
        </w:rPr>
        <w:t>-</w:t>
      </w:r>
      <w:r>
        <w:rPr>
          <w:rFonts w:hint="eastAsia"/>
          <w:i/>
          <w:sz w:val="28"/>
          <w:szCs w:val="28"/>
        </w:rPr>
        <w:t>Δ</w:t>
      </w:r>
      <w:r>
        <w:rPr>
          <w:i/>
          <w:sz w:val="28"/>
          <w:szCs w:val="28"/>
        </w:rPr>
        <w:t>h</w:t>
      </w:r>
      <w:r>
        <w:rPr>
          <w:i/>
          <w:sz w:val="28"/>
          <w:szCs w:val="28"/>
          <w:vertAlign w:val="subscript"/>
        </w:rPr>
        <w:t>2</w:t>
      </w:r>
      <w:r>
        <w:rPr>
          <w:rFonts w:hint="eastAsia"/>
          <w:sz w:val="28"/>
          <w:szCs w:val="28"/>
        </w:rPr>
        <w:t>＞</w:t>
      </w:r>
      <w:r>
        <w:rPr>
          <w:sz w:val="28"/>
          <w:szCs w:val="28"/>
        </w:rPr>
        <w:t>0</w:t>
      </w:r>
      <w:r>
        <w:rPr>
          <w:rFonts w:hint="eastAsia"/>
          <w:sz w:val="28"/>
          <w:szCs w:val="28"/>
        </w:rPr>
        <w:t>；或建设后建成区地下水潜水水位上升。</w:t>
      </w:r>
    </w:p>
    <w:p>
      <w:pPr>
        <w:snapToGrid w:val="0"/>
        <w:spacing w:after="0" w:line="360" w:lineRule="auto"/>
        <w:ind w:firstLine="560" w:firstLineChars="200"/>
        <w:contextualSpacing/>
        <w:rPr>
          <w:sz w:val="28"/>
          <w:szCs w:val="28"/>
        </w:rPr>
      </w:pPr>
      <w:r>
        <w:rPr>
          <w:rFonts w:hint="eastAsia"/>
          <w:sz w:val="28"/>
          <w:szCs w:val="28"/>
        </w:rPr>
        <w:t>海绵城市建设前的监测数据至少为近</w:t>
      </w:r>
      <w:r>
        <w:rPr>
          <w:sz w:val="28"/>
          <w:szCs w:val="28"/>
        </w:rPr>
        <w:t>5</w:t>
      </w:r>
      <w:r>
        <w:rPr>
          <w:rFonts w:hint="eastAsia"/>
          <w:sz w:val="28"/>
          <w:szCs w:val="28"/>
        </w:rPr>
        <w:t>年的地下水潜水水位，海绵城市建设后的监测数据至少为</w:t>
      </w:r>
      <w:r>
        <w:rPr>
          <w:sz w:val="28"/>
          <w:szCs w:val="28"/>
        </w:rPr>
        <w:t>1</w:t>
      </w:r>
      <w:r>
        <w:rPr>
          <w:rFonts w:hint="eastAsia"/>
          <w:sz w:val="28"/>
          <w:szCs w:val="28"/>
        </w:rPr>
        <w:t>年的地下水潜水水位。</w:t>
      </w:r>
    </w:p>
    <w:p>
      <w:pPr>
        <w:snapToGrid w:val="0"/>
        <w:spacing w:after="0" w:line="360" w:lineRule="auto"/>
        <w:ind w:firstLine="560" w:firstLineChars="200"/>
        <w:contextualSpacing/>
        <w:rPr>
          <w:sz w:val="28"/>
          <w:szCs w:val="28"/>
        </w:rPr>
      </w:pPr>
      <w:r>
        <w:rPr>
          <w:rFonts w:hint="eastAsia"/>
          <w:sz w:val="28"/>
          <w:szCs w:val="28"/>
        </w:rPr>
        <w:t>海绵城市建设后监测资料年数只有</w:t>
      </w:r>
      <w:r>
        <w:rPr>
          <w:sz w:val="28"/>
          <w:szCs w:val="28"/>
        </w:rPr>
        <w:t>1</w:t>
      </w:r>
      <w:r>
        <w:rPr>
          <w:rFonts w:hint="eastAsia"/>
          <w:sz w:val="28"/>
          <w:szCs w:val="28"/>
        </w:rPr>
        <w:t>年时，比较该年前一年与该年地下水潜水水位的差值</w:t>
      </w:r>
      <w:r>
        <w:rPr>
          <w:rFonts w:hint="eastAsia"/>
          <w:i/>
          <w:sz w:val="28"/>
          <w:szCs w:val="28"/>
        </w:rPr>
        <w:t>Δ</w:t>
      </w:r>
      <w:r>
        <w:rPr>
          <w:i/>
          <w:sz w:val="28"/>
          <w:szCs w:val="28"/>
        </w:rPr>
        <w:t>h</w:t>
      </w:r>
      <w:r>
        <w:rPr>
          <w:sz w:val="28"/>
          <w:szCs w:val="28"/>
          <w:vertAlign w:val="subscript"/>
        </w:rPr>
        <w:t>1</w:t>
      </w:r>
      <w:r>
        <w:rPr>
          <w:sz w:val="28"/>
          <w:szCs w:val="28"/>
        </w:rPr>
        <w:t>-</w:t>
      </w:r>
      <w:r>
        <w:rPr>
          <w:rFonts w:hint="eastAsia"/>
          <w:i/>
          <w:sz w:val="28"/>
          <w:szCs w:val="28"/>
        </w:rPr>
        <w:t>Δ</w:t>
      </w:r>
      <w:r>
        <w:rPr>
          <w:i/>
          <w:sz w:val="28"/>
          <w:szCs w:val="28"/>
        </w:rPr>
        <w:t>h</w:t>
      </w:r>
      <w:r>
        <w:rPr>
          <w:i/>
          <w:sz w:val="28"/>
          <w:szCs w:val="28"/>
          <w:vertAlign w:val="subscript"/>
        </w:rPr>
        <w:t>3</w:t>
      </w:r>
      <w:r>
        <w:rPr>
          <w:rFonts w:hint="eastAsia"/>
          <w:sz w:val="28"/>
          <w:szCs w:val="28"/>
        </w:rPr>
        <w:t>＞</w:t>
      </w:r>
      <w:r>
        <w:rPr>
          <w:sz w:val="28"/>
          <w:szCs w:val="28"/>
        </w:rPr>
        <w:t>0</w:t>
      </w:r>
      <w:r>
        <w:rPr>
          <w:rFonts w:hint="eastAsia"/>
          <w:sz w:val="28"/>
          <w:szCs w:val="28"/>
        </w:rPr>
        <w:t>，或建设后建成区地下水潜水水位上升。</w:t>
      </w:r>
    </w:p>
    <w:p>
      <w:pPr>
        <w:pStyle w:val="3"/>
        <w:jc w:val="center"/>
        <w:rPr>
          <w:rFonts w:ascii="Times New Roman" w:hAnsi="Times New Roman"/>
          <w:b w:val="0"/>
          <w:sz w:val="30"/>
          <w:szCs w:val="30"/>
        </w:rPr>
      </w:pPr>
      <w:bookmarkStart w:id="26" w:name="_Toc517339213"/>
      <w:r>
        <w:rPr>
          <w:rFonts w:ascii="Times New Roman" w:hAnsi="Times New Roman"/>
          <w:b w:val="0"/>
          <w:sz w:val="30"/>
          <w:szCs w:val="30"/>
        </w:rPr>
        <w:t xml:space="preserve">5.7 </w:t>
      </w:r>
      <w:r>
        <w:rPr>
          <w:rFonts w:hint="eastAsia" w:ascii="Times New Roman" w:hAnsi="Times New Roman"/>
          <w:b w:val="0"/>
          <w:sz w:val="30"/>
          <w:szCs w:val="30"/>
        </w:rPr>
        <w:t>城市热岛效应缓解</w:t>
      </w:r>
      <w:bookmarkEnd w:id="26"/>
    </w:p>
    <w:p>
      <w:pPr>
        <w:snapToGrid w:val="0"/>
        <w:spacing w:after="0" w:line="360" w:lineRule="auto"/>
        <w:ind w:firstLine="560" w:firstLineChars="200"/>
        <w:contextualSpacing/>
        <w:rPr>
          <w:sz w:val="28"/>
          <w:szCs w:val="28"/>
        </w:rPr>
      </w:pPr>
      <w:r>
        <w:rPr>
          <w:rFonts w:hint="eastAsia"/>
          <w:sz w:val="28"/>
          <w:szCs w:val="28"/>
        </w:rPr>
        <w:t>按照《地面气象观测规范 空气温度和湿度》（</w:t>
      </w:r>
      <w:r>
        <w:rPr>
          <w:sz w:val="28"/>
          <w:szCs w:val="28"/>
        </w:rPr>
        <w:t>GB/T 35226</w:t>
      </w:r>
      <w:r>
        <w:rPr>
          <w:rFonts w:hint="eastAsia"/>
          <w:sz w:val="28"/>
          <w:szCs w:val="28"/>
        </w:rPr>
        <w:t>）规定的方法，监测城市建成区内与周边郊区的气温变化情况，对海绵城市缓解城市热岛效应进行评价。</w:t>
      </w:r>
    </w:p>
    <w:p>
      <w:pPr>
        <w:snapToGrid w:val="0"/>
        <w:spacing w:after="0" w:line="360" w:lineRule="auto"/>
        <w:ind w:firstLine="560" w:firstLineChars="200"/>
        <w:contextualSpacing/>
        <w:rPr>
          <w:sz w:val="28"/>
          <w:szCs w:val="28"/>
        </w:rPr>
      </w:pPr>
      <w:r>
        <w:rPr>
          <w:rFonts w:hint="eastAsia"/>
          <w:sz w:val="28"/>
          <w:szCs w:val="28"/>
        </w:rPr>
        <w:t>将海绵城市建设前建成区与郊区日平均气温的差值</w:t>
      </w:r>
      <w:r>
        <w:rPr>
          <w:rFonts w:hint="eastAsia"/>
          <w:i/>
          <w:sz w:val="28"/>
          <w:szCs w:val="28"/>
        </w:rPr>
        <w:t>Δ</w:t>
      </w:r>
      <w:r>
        <w:rPr>
          <w:i/>
          <w:sz w:val="28"/>
          <w:szCs w:val="28"/>
        </w:rPr>
        <w:t>T</w:t>
      </w:r>
      <w:r>
        <w:rPr>
          <w:sz w:val="28"/>
          <w:szCs w:val="28"/>
          <w:vertAlign w:val="subscript"/>
        </w:rPr>
        <w:t>1</w:t>
      </w:r>
      <w:r>
        <w:rPr>
          <w:rFonts w:hint="eastAsia"/>
          <w:sz w:val="28"/>
          <w:szCs w:val="28"/>
        </w:rPr>
        <w:t>与建成后建成区与郊区日平均气温的差值</w:t>
      </w:r>
      <w:r>
        <w:rPr>
          <w:rFonts w:hint="eastAsia"/>
          <w:i/>
          <w:sz w:val="28"/>
          <w:szCs w:val="28"/>
        </w:rPr>
        <w:t>Δ</w:t>
      </w:r>
      <w:r>
        <w:rPr>
          <w:i/>
          <w:sz w:val="28"/>
          <w:szCs w:val="28"/>
        </w:rPr>
        <w:t>T</w:t>
      </w:r>
      <w:r>
        <w:rPr>
          <w:sz w:val="28"/>
          <w:szCs w:val="28"/>
          <w:vertAlign w:val="subscript"/>
        </w:rPr>
        <w:t>2</w:t>
      </w:r>
      <w:r>
        <w:rPr>
          <w:rFonts w:hint="eastAsia"/>
          <w:sz w:val="28"/>
          <w:szCs w:val="28"/>
        </w:rPr>
        <w:t>进行比较，</w:t>
      </w:r>
      <w:r>
        <w:rPr>
          <w:rFonts w:hint="eastAsia"/>
          <w:i/>
          <w:sz w:val="28"/>
          <w:szCs w:val="28"/>
        </w:rPr>
        <w:t>Δ</w:t>
      </w:r>
      <w:r>
        <w:rPr>
          <w:i/>
          <w:sz w:val="28"/>
          <w:szCs w:val="28"/>
        </w:rPr>
        <w:t>T</w:t>
      </w:r>
      <w:r>
        <w:rPr>
          <w:sz w:val="28"/>
          <w:szCs w:val="28"/>
          <w:vertAlign w:val="subscript"/>
        </w:rPr>
        <w:t>1</w:t>
      </w:r>
      <w:r>
        <w:rPr>
          <w:sz w:val="28"/>
          <w:szCs w:val="28"/>
        </w:rPr>
        <w:t>-</w:t>
      </w:r>
      <w:r>
        <w:rPr>
          <w:rFonts w:hint="eastAsia"/>
          <w:i/>
          <w:sz w:val="28"/>
          <w:szCs w:val="28"/>
        </w:rPr>
        <w:t>Δ</w:t>
      </w:r>
      <w:r>
        <w:rPr>
          <w:i/>
          <w:sz w:val="28"/>
          <w:szCs w:val="28"/>
        </w:rPr>
        <w:t>T</w:t>
      </w:r>
      <w:r>
        <w:rPr>
          <w:sz w:val="28"/>
          <w:szCs w:val="28"/>
          <w:vertAlign w:val="subscript"/>
        </w:rPr>
        <w:t>2</w:t>
      </w:r>
      <w:r>
        <w:rPr>
          <w:rFonts w:hint="eastAsia"/>
          <w:sz w:val="28"/>
          <w:szCs w:val="28"/>
        </w:rPr>
        <w:t>≥</w:t>
      </w:r>
      <w:r>
        <w:rPr>
          <w:sz w:val="28"/>
          <w:szCs w:val="28"/>
        </w:rPr>
        <w:t>0.5</w:t>
      </w:r>
      <w:r>
        <w:rPr>
          <w:rFonts w:hint="eastAsia"/>
          <w:sz w:val="28"/>
          <w:szCs w:val="28"/>
        </w:rPr>
        <w:t>℃。</w:t>
      </w:r>
    </w:p>
    <w:p>
      <w:pPr>
        <w:snapToGrid w:val="0"/>
        <w:spacing w:after="0" w:line="360" w:lineRule="auto"/>
        <w:ind w:firstLine="560" w:firstLineChars="200"/>
        <w:contextualSpacing/>
        <w:rPr>
          <w:sz w:val="28"/>
          <w:szCs w:val="28"/>
        </w:rPr>
      </w:pPr>
      <w:r>
        <w:rPr>
          <w:rFonts w:hint="eastAsia"/>
          <w:sz w:val="28"/>
          <w:szCs w:val="28"/>
        </w:rPr>
        <w:t>海绵城市建设前的监测数据至少为近</w:t>
      </w:r>
      <w:r>
        <w:rPr>
          <w:sz w:val="28"/>
          <w:szCs w:val="28"/>
        </w:rPr>
        <w:t>5</w:t>
      </w:r>
      <w:r>
        <w:rPr>
          <w:rFonts w:hint="eastAsia"/>
          <w:sz w:val="28"/>
          <w:szCs w:val="28"/>
        </w:rPr>
        <w:t>年的</w:t>
      </w:r>
      <w:r>
        <w:rPr>
          <w:sz w:val="28"/>
          <w:szCs w:val="28"/>
        </w:rPr>
        <w:t>6~9</w:t>
      </w:r>
      <w:r>
        <w:rPr>
          <w:rFonts w:hint="eastAsia"/>
          <w:sz w:val="28"/>
          <w:szCs w:val="28"/>
        </w:rPr>
        <w:t>月日平均气温，海绵城市建设后的监测数据至少为</w:t>
      </w:r>
      <w:r>
        <w:rPr>
          <w:sz w:val="28"/>
          <w:szCs w:val="28"/>
        </w:rPr>
        <w:t>1</w:t>
      </w:r>
      <w:r>
        <w:rPr>
          <w:rFonts w:hint="eastAsia"/>
          <w:sz w:val="28"/>
          <w:szCs w:val="28"/>
        </w:rPr>
        <w:t>年的</w:t>
      </w:r>
      <w:r>
        <w:rPr>
          <w:sz w:val="28"/>
          <w:szCs w:val="28"/>
        </w:rPr>
        <w:t>6~9</w:t>
      </w:r>
      <w:r>
        <w:rPr>
          <w:rFonts w:hint="eastAsia"/>
          <w:sz w:val="28"/>
          <w:szCs w:val="28"/>
        </w:rPr>
        <w:t>月日平均气温。</w:t>
      </w:r>
    </w:p>
    <w:p>
      <w:pPr>
        <w:snapToGrid w:val="0"/>
        <w:spacing w:after="0" w:line="360" w:lineRule="auto"/>
        <w:contextualSpacing/>
        <w:rPr>
          <w:sz w:val="24"/>
          <w:szCs w:val="28"/>
        </w:rPr>
      </w:pPr>
    </w:p>
    <w:p>
      <w:pPr>
        <w:snapToGrid w:val="0"/>
        <w:spacing w:after="0" w:line="360" w:lineRule="auto"/>
        <w:contextualSpacing/>
        <w:rPr>
          <w:sz w:val="24"/>
          <w:szCs w:val="28"/>
        </w:rPr>
      </w:pPr>
    </w:p>
    <w:p>
      <w:pPr>
        <w:snapToGrid w:val="0"/>
        <w:spacing w:after="0" w:line="360" w:lineRule="auto"/>
        <w:contextualSpacing/>
        <w:rPr>
          <w:sz w:val="24"/>
          <w:szCs w:val="28"/>
        </w:rPr>
      </w:pPr>
      <w:r>
        <w:rPr>
          <w:rFonts w:hint="eastAsia"/>
          <w:sz w:val="24"/>
          <w:szCs w:val="28"/>
        </w:rPr>
        <w:t>【条文说明】本章规定了各项评价内容的评价方法和评判标准。</w:t>
      </w:r>
    </w:p>
    <w:p>
      <w:pPr>
        <w:snapToGrid w:val="0"/>
        <w:spacing w:after="0" w:line="360" w:lineRule="auto"/>
        <w:ind w:firstLine="480" w:firstLineChars="200"/>
        <w:contextualSpacing/>
        <w:rPr>
          <w:sz w:val="24"/>
          <w:szCs w:val="28"/>
        </w:rPr>
      </w:pPr>
      <w:r>
        <w:rPr>
          <w:rFonts w:hint="eastAsia"/>
          <w:sz w:val="24"/>
          <w:szCs w:val="28"/>
        </w:rPr>
        <w:t>（1）合流制溢流事件指：溢流水量大于某值且与上一次溢流发生的时间间隔大于某值的溢流。可根据一场降雨事件仅产生一次合流制溢流事件的原则，通过定义独立降雨事件的方式定义合流制溢流事件，即与上一次溢流发生的时间间隔采用下述方法确定：按照某最小降雨间隔时间</w:t>
      </w:r>
      <w:r>
        <w:rPr>
          <w:sz w:val="24"/>
          <w:szCs w:val="28"/>
        </w:rPr>
        <w:t>T</w:t>
      </w:r>
      <w:r>
        <w:rPr>
          <w:rFonts w:hint="eastAsia"/>
          <w:sz w:val="24"/>
          <w:szCs w:val="28"/>
        </w:rPr>
        <w:t>划分得到的系列降雨事件，实际降雨间隔时间的变异系数（标准偏差与平均值的比值）</w:t>
      </w:r>
      <w:r>
        <w:rPr>
          <w:sz w:val="24"/>
          <w:szCs w:val="28"/>
        </w:rPr>
        <w:t>CV</w:t>
      </w:r>
      <w:r>
        <w:rPr>
          <w:rFonts w:hint="eastAsia"/>
          <w:sz w:val="24"/>
          <w:szCs w:val="28"/>
        </w:rPr>
        <w:t>≈</w:t>
      </w:r>
      <w:r>
        <w:rPr>
          <w:sz w:val="24"/>
          <w:szCs w:val="28"/>
        </w:rPr>
        <w:t>1</w:t>
      </w:r>
      <w:r>
        <w:rPr>
          <w:rFonts w:hint="eastAsia"/>
          <w:sz w:val="24"/>
          <w:szCs w:val="28"/>
        </w:rPr>
        <w:t>，则将该最小降雨间隔时间</w:t>
      </w:r>
      <w:r>
        <w:rPr>
          <w:sz w:val="24"/>
          <w:szCs w:val="28"/>
        </w:rPr>
        <w:t>T</w:t>
      </w:r>
      <w:r>
        <w:rPr>
          <w:rFonts w:hint="eastAsia"/>
          <w:sz w:val="24"/>
          <w:szCs w:val="28"/>
        </w:rPr>
        <w:t>作为两次溢流发生的时间间隔。</w:t>
      </w:r>
    </w:p>
    <w:p>
      <w:pPr>
        <w:snapToGrid w:val="0"/>
        <w:spacing w:after="0" w:line="360" w:lineRule="auto"/>
        <w:ind w:firstLine="480" w:firstLineChars="200"/>
        <w:contextualSpacing/>
        <w:rPr>
          <w:sz w:val="24"/>
          <w:szCs w:val="28"/>
        </w:rPr>
      </w:pPr>
      <w:r>
        <w:rPr>
          <w:rFonts w:hint="eastAsia"/>
          <w:sz w:val="24"/>
          <w:szCs w:val="28"/>
        </w:rPr>
        <w:t>以北京市近</w:t>
      </w:r>
      <w:r>
        <w:rPr>
          <w:sz w:val="24"/>
          <w:szCs w:val="28"/>
        </w:rPr>
        <w:t>30</w:t>
      </w:r>
      <w:r>
        <w:rPr>
          <w:rFonts w:hint="eastAsia"/>
          <w:sz w:val="24"/>
          <w:szCs w:val="28"/>
        </w:rPr>
        <w:t>年（</w:t>
      </w:r>
      <w:r>
        <w:rPr>
          <w:sz w:val="24"/>
          <w:szCs w:val="28"/>
        </w:rPr>
        <w:t>1987-2016</w:t>
      </w:r>
      <w:r>
        <w:rPr>
          <w:rFonts w:hint="eastAsia"/>
          <w:sz w:val="24"/>
          <w:szCs w:val="28"/>
        </w:rPr>
        <w:t>）逐小时降雨数据为例，以降雨量为</w:t>
      </w:r>
      <w:r>
        <w:rPr>
          <w:sz w:val="24"/>
          <w:szCs w:val="28"/>
        </w:rPr>
        <w:t>0mm</w:t>
      </w:r>
      <w:r>
        <w:rPr>
          <w:rFonts w:hint="eastAsia"/>
          <w:sz w:val="24"/>
          <w:szCs w:val="28"/>
        </w:rPr>
        <w:t>的降雨持续时间超过</w:t>
      </w:r>
      <w:r>
        <w:rPr>
          <w:sz w:val="24"/>
          <w:szCs w:val="28"/>
        </w:rPr>
        <w:t>t=i</w:t>
      </w:r>
      <w:r>
        <w:rPr>
          <w:rFonts w:hint="eastAsia"/>
          <w:sz w:val="24"/>
          <w:szCs w:val="28"/>
        </w:rPr>
        <w:t>（</w:t>
      </w:r>
      <w:r>
        <w:rPr>
          <w:sz w:val="24"/>
          <w:szCs w:val="28"/>
        </w:rPr>
        <w:t>h</w:t>
      </w:r>
      <w:r>
        <w:rPr>
          <w:rFonts w:hint="eastAsia"/>
          <w:sz w:val="24"/>
          <w:szCs w:val="28"/>
        </w:rPr>
        <w:t>）（</w:t>
      </w:r>
      <w:r>
        <w:rPr>
          <w:sz w:val="24"/>
          <w:szCs w:val="28"/>
        </w:rPr>
        <w:t>i=1,2,3</w:t>
      </w:r>
      <w:r>
        <w:rPr>
          <w:rFonts w:hint="eastAsia"/>
          <w:sz w:val="24"/>
          <w:szCs w:val="28"/>
        </w:rPr>
        <w:t>…</w:t>
      </w:r>
      <w:r>
        <w:rPr>
          <w:sz w:val="24"/>
          <w:szCs w:val="28"/>
        </w:rPr>
        <w:t>N</w:t>
      </w:r>
      <w:r>
        <w:rPr>
          <w:rFonts w:hint="eastAsia"/>
          <w:sz w:val="24"/>
          <w:szCs w:val="28"/>
        </w:rPr>
        <w:t>）为标准进行场雨划分，得到</w:t>
      </w:r>
      <w:r>
        <w:rPr>
          <w:sz w:val="24"/>
          <w:szCs w:val="28"/>
        </w:rPr>
        <w:t>N</w:t>
      </w:r>
      <w:r>
        <w:rPr>
          <w:rFonts w:hint="eastAsia"/>
          <w:sz w:val="24"/>
          <w:szCs w:val="28"/>
        </w:rPr>
        <w:t>组系列场降雨事件，扣除降雨量小于等于</w:t>
      </w:r>
      <w:r>
        <w:rPr>
          <w:sz w:val="24"/>
          <w:szCs w:val="28"/>
        </w:rPr>
        <w:t>2mm</w:t>
      </w:r>
      <w:r>
        <w:rPr>
          <w:rFonts w:hint="eastAsia"/>
          <w:sz w:val="24"/>
          <w:szCs w:val="28"/>
        </w:rPr>
        <w:t>的场降雨事件后，分别计算各组系列场降雨事件实际降雨间隔时间的变异系数</w:t>
      </w:r>
      <w:r>
        <w:rPr>
          <w:sz w:val="24"/>
          <w:szCs w:val="28"/>
        </w:rPr>
        <w:t>CV</w:t>
      </w:r>
      <w:r>
        <w:rPr>
          <w:rFonts w:hint="eastAsia"/>
          <w:sz w:val="24"/>
          <w:szCs w:val="28"/>
        </w:rPr>
        <w:t>，按照降雨间隔时间</w:t>
      </w:r>
      <w:r>
        <w:rPr>
          <w:sz w:val="24"/>
          <w:szCs w:val="28"/>
        </w:rPr>
        <w:t>CV</w:t>
      </w:r>
      <w:r>
        <w:rPr>
          <w:rFonts w:hint="eastAsia"/>
          <w:sz w:val="24"/>
          <w:szCs w:val="28"/>
        </w:rPr>
        <w:t>≈</w:t>
      </w:r>
      <w:r>
        <w:rPr>
          <w:sz w:val="24"/>
          <w:szCs w:val="28"/>
        </w:rPr>
        <w:t>1</w:t>
      </w:r>
      <w:r>
        <w:rPr>
          <w:rFonts w:hint="eastAsia"/>
          <w:sz w:val="24"/>
          <w:szCs w:val="28"/>
        </w:rPr>
        <w:t>确定</w:t>
      </w:r>
      <w:r>
        <w:rPr>
          <w:sz w:val="24"/>
          <w:szCs w:val="28"/>
        </w:rPr>
        <w:t>T=13h</w:t>
      </w:r>
      <w:r>
        <w:rPr>
          <w:rFonts w:hint="eastAsia"/>
          <w:sz w:val="24"/>
          <w:szCs w:val="28"/>
        </w:rPr>
        <w:t>（</w:t>
      </w:r>
      <w:r>
        <w:rPr>
          <w:sz w:val="24"/>
          <w:szCs w:val="28"/>
        </w:rPr>
        <w:t>CV=1.001</w:t>
      </w:r>
      <w:r>
        <w:rPr>
          <w:rFonts w:hint="eastAsia"/>
          <w:sz w:val="24"/>
          <w:szCs w:val="28"/>
        </w:rPr>
        <w:t>），即对于北京，可将合流制溢流事件定义为：总溢流水量超过</w:t>
      </w:r>
      <w:r>
        <w:rPr>
          <w:sz w:val="24"/>
          <w:szCs w:val="28"/>
        </w:rPr>
        <w:t>1m</w:t>
      </w:r>
      <w:r>
        <w:rPr>
          <w:sz w:val="24"/>
          <w:szCs w:val="28"/>
          <w:vertAlign w:val="superscript"/>
        </w:rPr>
        <w:t>3</w:t>
      </w:r>
      <w:r>
        <w:rPr>
          <w:rFonts w:hint="eastAsia"/>
          <w:sz w:val="24"/>
          <w:szCs w:val="28"/>
        </w:rPr>
        <w:t>且与上一次溢流发生的间隔时间＞</w:t>
      </w:r>
      <w:r>
        <w:rPr>
          <w:sz w:val="24"/>
          <w:szCs w:val="28"/>
        </w:rPr>
        <w:t>13h</w:t>
      </w:r>
      <w:r>
        <w:rPr>
          <w:rFonts w:hint="eastAsia"/>
          <w:sz w:val="24"/>
          <w:szCs w:val="28"/>
        </w:rPr>
        <w:t>。</w:t>
      </w:r>
    </w:p>
    <w:p>
      <w:pPr>
        <w:snapToGrid w:val="0"/>
        <w:spacing w:after="0" w:line="360" w:lineRule="auto"/>
        <w:ind w:firstLine="480" w:firstLineChars="200"/>
        <w:contextualSpacing/>
        <w:rPr>
          <w:sz w:val="24"/>
          <w:szCs w:val="28"/>
        </w:rPr>
      </w:pPr>
      <w:r>
        <w:rPr>
          <w:rFonts w:hint="eastAsia"/>
          <w:sz w:val="24"/>
          <w:szCs w:val="28"/>
        </w:rPr>
        <w:t>（2）城市水体环境质量监测断面、监测点、采样点等还应符合《地表水和污水监测技术规范》（</w:t>
      </w:r>
      <w:r>
        <w:rPr>
          <w:sz w:val="24"/>
          <w:szCs w:val="28"/>
        </w:rPr>
        <w:t>HJ/T 91</w:t>
      </w:r>
      <w:r>
        <w:rPr>
          <w:rFonts w:hint="eastAsia"/>
          <w:sz w:val="24"/>
          <w:szCs w:val="28"/>
        </w:rPr>
        <w:t>）、《水质采样方案设计技术规定》（</w:t>
      </w:r>
      <w:r>
        <w:rPr>
          <w:sz w:val="24"/>
          <w:szCs w:val="28"/>
        </w:rPr>
        <w:t>HJ 495</w:t>
      </w:r>
      <w:r>
        <w:rPr>
          <w:rFonts w:hint="eastAsia"/>
          <w:sz w:val="24"/>
          <w:szCs w:val="28"/>
        </w:rPr>
        <w:t>）的规定。</w:t>
      </w:r>
    </w:p>
    <w:p>
      <w:pPr>
        <w:snapToGrid w:val="0"/>
        <w:spacing w:after="0" w:line="360" w:lineRule="auto"/>
        <w:contextualSpacing/>
        <w:rPr>
          <w:sz w:val="24"/>
          <w:szCs w:val="28"/>
        </w:rPr>
      </w:pPr>
      <w:r>
        <w:rPr>
          <w:sz w:val="24"/>
          <w:szCs w:val="28"/>
        </w:rPr>
        <w:t xml:space="preserve">    </w:t>
      </w:r>
      <w:r>
        <w:rPr>
          <w:rFonts w:hint="eastAsia"/>
          <w:sz w:val="24"/>
          <w:szCs w:val="28"/>
        </w:rPr>
        <w:t>（3）城市热岛效应也可采用红外遥感监测进行评价。</w:t>
      </w:r>
    </w:p>
    <w:p>
      <w:pPr>
        <w:snapToGrid w:val="0"/>
        <w:spacing w:after="0" w:line="360" w:lineRule="auto"/>
        <w:ind w:firstLine="560" w:firstLineChars="200"/>
        <w:contextualSpacing/>
        <w:rPr>
          <w:sz w:val="28"/>
          <w:szCs w:val="28"/>
        </w:rPr>
      </w:pPr>
    </w:p>
    <w:p>
      <w:pPr>
        <w:snapToGrid w:val="0"/>
        <w:spacing w:after="0" w:line="360" w:lineRule="auto"/>
        <w:contextualSpacing/>
        <w:rPr>
          <w:sz w:val="24"/>
          <w:szCs w:val="28"/>
        </w:rPr>
      </w:pPr>
    </w:p>
    <w:p>
      <w:pPr>
        <w:snapToGrid w:val="0"/>
        <w:spacing w:after="0" w:line="360" w:lineRule="auto"/>
        <w:ind w:firstLine="560" w:firstLineChars="200"/>
        <w:contextualSpacing/>
        <w:rPr>
          <w:sz w:val="28"/>
          <w:szCs w:val="28"/>
        </w:rPr>
      </w:pPr>
      <w:r>
        <w:rPr>
          <w:sz w:val="28"/>
          <w:szCs w:val="28"/>
        </w:rPr>
        <w:br w:type="page"/>
      </w:r>
    </w:p>
    <w:p>
      <w:pPr>
        <w:pStyle w:val="2"/>
      </w:pPr>
      <w:bookmarkStart w:id="27" w:name="_Toc509665961"/>
      <w:bookmarkStart w:id="28" w:name="_Toc512322009"/>
      <w:bookmarkStart w:id="29" w:name="_Toc517339214"/>
      <w:bookmarkStart w:id="30" w:name="_Toc509665962"/>
      <w:bookmarkStart w:id="31" w:name="_Toc499562363"/>
      <w:bookmarkStart w:id="32" w:name="_Toc388260865"/>
      <w:bookmarkStart w:id="33" w:name="_Toc390202963"/>
      <w:r>
        <w:rPr>
          <w:rFonts w:hint="eastAsia"/>
        </w:rPr>
        <w:t>附录</w:t>
      </w:r>
      <w:r>
        <w:t xml:space="preserve"> </w:t>
      </w:r>
      <w:bookmarkEnd w:id="27"/>
      <w:r>
        <w:rPr>
          <w:rFonts w:hint="eastAsia"/>
        </w:rPr>
        <w:t>雨水年径流总量控制率</w:t>
      </w:r>
      <w:bookmarkEnd w:id="28"/>
      <w:r>
        <w:rPr>
          <w:rFonts w:hint="eastAsia"/>
        </w:rPr>
        <w:t>与降雨深度的关系及其应用</w:t>
      </w:r>
      <w:bookmarkEnd w:id="29"/>
    </w:p>
    <w:p>
      <w:pPr>
        <w:snapToGrid w:val="0"/>
        <w:spacing w:after="0" w:line="360" w:lineRule="auto"/>
        <w:contextualSpacing/>
        <w:rPr>
          <w:b/>
          <w:sz w:val="28"/>
          <w:szCs w:val="28"/>
        </w:rPr>
      </w:pPr>
      <w:r>
        <w:rPr>
          <w:b/>
          <w:sz w:val="28"/>
          <w:szCs w:val="28"/>
        </w:rPr>
        <w:t>1.0.1</w:t>
      </w:r>
      <w:r>
        <w:rPr>
          <w:rFonts w:hint="eastAsia"/>
          <w:b/>
          <w:sz w:val="28"/>
          <w:szCs w:val="28"/>
        </w:rPr>
        <w:t>确定雨水年径流总量控制率的意义</w:t>
      </w:r>
    </w:p>
    <w:p>
      <w:pPr>
        <w:snapToGrid w:val="0"/>
        <w:spacing w:after="0" w:line="360" w:lineRule="auto"/>
        <w:ind w:firstLine="563"/>
        <w:contextualSpacing/>
        <w:rPr>
          <w:sz w:val="28"/>
          <w:szCs w:val="28"/>
        </w:rPr>
      </w:pPr>
      <w:r>
        <w:rPr>
          <w:rFonts w:hint="eastAsia"/>
          <w:sz w:val="28"/>
          <w:szCs w:val="28"/>
        </w:rPr>
        <w:t>自然下垫面通过入渗、滞蓄、净化等功能对雨水径流起到控制作用，即自然下垫面具有“海绵”效应，像海绵一样具有吸水、蓄水、渗水、净水、释水的功能。</w:t>
      </w:r>
    </w:p>
    <w:p>
      <w:pPr>
        <w:snapToGrid w:val="0"/>
        <w:spacing w:after="0" w:line="360" w:lineRule="auto"/>
        <w:ind w:firstLine="563"/>
        <w:contextualSpacing/>
        <w:rPr>
          <w:sz w:val="28"/>
          <w:szCs w:val="28"/>
        </w:rPr>
      </w:pPr>
      <w:r>
        <w:rPr>
          <w:rFonts w:hint="eastAsia"/>
          <w:sz w:val="28"/>
          <w:szCs w:val="28"/>
        </w:rPr>
        <w:t>地球系统中的水文循环主要包含蒸发（腾）、水汽输送、降水、径流等过程，在城市区域空间尺度，水文循环过程主要反映在降水与径流。传统城市开发建设模式，由于下垫面的过度硬化，导致雨水径流特征发生变化，破坏了水的循环路径，对城市水生态、水环境、水资源等造成巨大影响，也放大了灾害风险。城市开发建设对水文循环过程的影响主要在于径流，海绵城市建设的目的就是要在城市建设区域空间内保护和恢复自然的水文特征，其实质是恢复原始雨水径流状态，其核心在于控制径流。</w:t>
      </w:r>
    </w:p>
    <w:p>
      <w:pPr>
        <w:snapToGrid w:val="0"/>
        <w:spacing w:after="0" w:line="360" w:lineRule="auto"/>
        <w:ind w:firstLine="563"/>
        <w:contextualSpacing/>
        <w:rPr>
          <w:sz w:val="28"/>
          <w:szCs w:val="28"/>
        </w:rPr>
      </w:pPr>
      <w:r>
        <w:rPr>
          <w:rFonts w:hint="eastAsia"/>
          <w:sz w:val="28"/>
          <w:szCs w:val="28"/>
        </w:rPr>
        <w:t>雨水年径流总量控制率是控制的降雨径流量与年降雨总量的比值，反映了通过自然与人工强化措施控制降雨径流的程度。在自然状态下，大到暴雨时（小概率降雨事件）易形成地表径流；而在中小降雨时（大概率降雨事件）较少形成大量的地表径流，主要是通过下垫面入渗、滞蓄等作用对雨水径流进行控制。因此，首先应控制高频率的中小降雨径流。依据多年降雨资料，可导出雨水径流总量控制率与降雨深度的对应关系，依此可确定设计降雨深度，作为雨水径流控制设施规模设计的关键参数。</w:t>
      </w:r>
    </w:p>
    <w:p>
      <w:pPr>
        <w:snapToGrid w:val="0"/>
        <w:spacing w:after="0" w:line="360" w:lineRule="auto"/>
        <w:contextualSpacing/>
        <w:rPr>
          <w:b/>
          <w:sz w:val="28"/>
          <w:szCs w:val="28"/>
        </w:rPr>
      </w:pPr>
      <w:r>
        <w:rPr>
          <w:b/>
          <w:sz w:val="28"/>
          <w:szCs w:val="28"/>
        </w:rPr>
        <w:t>1.0.2</w:t>
      </w:r>
      <w:r>
        <w:rPr>
          <w:rFonts w:hint="eastAsia"/>
          <w:b/>
          <w:sz w:val="28"/>
          <w:szCs w:val="28"/>
        </w:rPr>
        <w:t>雨水年径流总量控制率指标的确定</w:t>
      </w:r>
    </w:p>
    <w:p>
      <w:pPr>
        <w:snapToGrid w:val="0"/>
        <w:spacing w:after="0" w:line="360" w:lineRule="auto"/>
        <w:ind w:firstLine="563"/>
        <w:contextualSpacing/>
        <w:rPr>
          <w:sz w:val="28"/>
          <w:szCs w:val="28"/>
        </w:rPr>
      </w:pPr>
      <w:r>
        <w:rPr>
          <w:rFonts w:hint="eastAsia"/>
          <w:sz w:val="28"/>
          <w:szCs w:val="28"/>
        </w:rPr>
        <w:t>根据所在区域自然状态下的降雨径流系数确定雨水年径流总量控制率，即：</w:t>
      </w:r>
    </w:p>
    <w:p>
      <w:pPr>
        <w:snapToGrid w:val="0"/>
        <w:spacing w:after="0" w:line="360" w:lineRule="auto"/>
        <w:ind w:firstLine="563"/>
        <w:contextualSpacing/>
        <w:rPr>
          <w:sz w:val="28"/>
          <w:szCs w:val="28"/>
        </w:rPr>
      </w:pPr>
      <w:r>
        <w:rPr>
          <w:rFonts w:hint="eastAsia"/>
          <w:sz w:val="28"/>
          <w:szCs w:val="28"/>
        </w:rPr>
        <w:t xml:space="preserve">雨水年径流总量控制率=1-径流系数 </w:t>
      </w:r>
      <w:r>
        <w:rPr>
          <w:sz w:val="28"/>
          <w:szCs w:val="28"/>
        </w:rPr>
        <w:t xml:space="preserve">   </w:t>
      </w:r>
      <w:r>
        <w:rPr>
          <w:rFonts w:hint="eastAsia"/>
          <w:sz w:val="28"/>
          <w:szCs w:val="28"/>
        </w:rPr>
        <w:t>式（1</w:t>
      </w:r>
      <w:r>
        <w:rPr>
          <w:sz w:val="28"/>
          <w:szCs w:val="28"/>
        </w:rPr>
        <w:t>.0.2</w:t>
      </w:r>
      <w:r>
        <w:rPr>
          <w:rFonts w:hint="eastAsia"/>
          <w:sz w:val="28"/>
          <w:szCs w:val="28"/>
        </w:rPr>
        <w:t>）</w:t>
      </w:r>
    </w:p>
    <w:p>
      <w:pPr>
        <w:snapToGrid w:val="0"/>
        <w:spacing w:after="0" w:line="360" w:lineRule="auto"/>
        <w:ind w:firstLine="563"/>
        <w:contextualSpacing/>
        <w:rPr>
          <w:sz w:val="28"/>
          <w:szCs w:val="28"/>
        </w:rPr>
      </w:pPr>
      <w:r>
        <w:rPr>
          <w:rFonts w:hint="eastAsia"/>
          <w:sz w:val="28"/>
          <w:szCs w:val="28"/>
        </w:rPr>
        <w:t>若当地水文资料不全，可根据图1</w:t>
      </w:r>
      <w:r>
        <w:rPr>
          <w:sz w:val="28"/>
          <w:szCs w:val="28"/>
        </w:rPr>
        <w:t>.0.2</w:t>
      </w:r>
      <w:r>
        <w:rPr>
          <w:rFonts w:hint="eastAsia"/>
          <w:sz w:val="28"/>
          <w:szCs w:val="28"/>
        </w:rPr>
        <w:t>确定当地的雨水年径流总量控制率。</w:t>
      </w:r>
    </w:p>
    <w:p>
      <w:pPr>
        <w:snapToGrid w:val="0"/>
        <w:spacing w:after="0" w:line="360" w:lineRule="auto"/>
        <w:contextualSpacing/>
        <w:jc w:val="center"/>
        <w:rPr>
          <w:rFonts w:ascii="黑体" w:hAnsi="黑体" w:eastAsia="黑体"/>
          <w:sz w:val="24"/>
        </w:rPr>
      </w:pPr>
      <w:r>
        <w:drawing>
          <wp:inline distT="0" distB="0" distL="0" distR="0">
            <wp:extent cx="5360670" cy="40462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63499" cy="4048453"/>
                    </a:xfrm>
                    <a:prstGeom prst="rect">
                      <a:avLst/>
                    </a:prstGeom>
                    <a:noFill/>
                    <a:ln>
                      <a:noFill/>
                    </a:ln>
                  </pic:spPr>
                </pic:pic>
              </a:graphicData>
            </a:graphic>
          </wp:inline>
        </w:drawing>
      </w:r>
    </w:p>
    <w:p>
      <w:pPr>
        <w:snapToGrid w:val="0"/>
        <w:spacing w:after="0" w:line="360" w:lineRule="auto"/>
        <w:contextualSpacing/>
        <w:jc w:val="center"/>
        <w:rPr>
          <w:rFonts w:eastAsia="黑体"/>
          <w:b/>
          <w:szCs w:val="21"/>
        </w:rPr>
      </w:pPr>
      <w:r>
        <w:rPr>
          <w:rFonts w:hint="eastAsia" w:eastAsia="黑体"/>
          <w:b/>
          <w:szCs w:val="21"/>
        </w:rPr>
        <w:t>图1.</w:t>
      </w:r>
      <w:r>
        <w:rPr>
          <w:rFonts w:eastAsia="黑体"/>
          <w:b/>
          <w:szCs w:val="21"/>
        </w:rPr>
        <w:t xml:space="preserve">0.2 </w:t>
      </w:r>
      <w:r>
        <w:rPr>
          <w:rFonts w:hint="eastAsia" w:eastAsia="黑体"/>
          <w:b/>
          <w:szCs w:val="21"/>
        </w:rPr>
        <w:t>我国雨水年径流总量控制率分区图（依据2</w:t>
      </w:r>
      <w:r>
        <w:rPr>
          <w:rFonts w:eastAsia="黑体"/>
          <w:b/>
          <w:szCs w:val="21"/>
        </w:rPr>
        <w:t>4</w:t>
      </w:r>
      <w:r>
        <w:rPr>
          <w:rFonts w:hint="eastAsia" w:eastAsia="黑体"/>
          <w:b/>
          <w:szCs w:val="21"/>
        </w:rPr>
        <w:t>h降雨数据绘制）</w:t>
      </w:r>
    </w:p>
    <w:p>
      <w:pPr>
        <w:snapToGrid w:val="0"/>
        <w:spacing w:after="0" w:line="360" w:lineRule="auto"/>
        <w:contextualSpacing/>
        <w:rPr>
          <w:sz w:val="28"/>
          <w:szCs w:val="28"/>
        </w:rPr>
      </w:pPr>
      <w:r>
        <w:rPr>
          <w:rFonts w:hint="eastAsia"/>
          <w:sz w:val="28"/>
          <w:szCs w:val="28"/>
        </w:rPr>
        <w:t xml:space="preserve"> </w:t>
      </w:r>
      <w:r>
        <w:rPr>
          <w:sz w:val="28"/>
          <w:szCs w:val="28"/>
        </w:rPr>
        <w:t xml:space="preserve">   </w:t>
      </w:r>
      <w:r>
        <w:rPr>
          <w:rFonts w:hint="eastAsia"/>
          <w:sz w:val="28"/>
          <w:szCs w:val="28"/>
        </w:rPr>
        <w:t>干旱少雨地区，自然渗透能力强，雨水年径流总量控制率尽可能取上限值；在多雨地区，地下水位高、渗透能力差，可取下限值。</w:t>
      </w:r>
    </w:p>
    <w:p>
      <w:pPr>
        <w:snapToGrid w:val="0"/>
        <w:spacing w:after="0" w:line="360" w:lineRule="auto"/>
        <w:contextualSpacing/>
        <w:rPr>
          <w:b/>
          <w:sz w:val="28"/>
          <w:szCs w:val="28"/>
        </w:rPr>
      </w:pPr>
      <w:bookmarkStart w:id="34" w:name="OLE_LINK14"/>
      <w:r>
        <w:rPr>
          <w:b/>
          <w:sz w:val="28"/>
          <w:szCs w:val="28"/>
        </w:rPr>
        <w:t>1.0.3</w:t>
      </w:r>
      <w:r>
        <w:rPr>
          <w:rFonts w:hint="eastAsia"/>
          <w:b/>
          <w:sz w:val="28"/>
          <w:szCs w:val="28"/>
        </w:rPr>
        <w:t>雨水年径流总量控制率与设计降雨深度的关系</w:t>
      </w:r>
    </w:p>
    <w:p>
      <w:pPr>
        <w:snapToGrid w:val="0"/>
        <w:spacing w:after="0" w:line="360" w:lineRule="auto"/>
        <w:ind w:firstLine="563"/>
        <w:contextualSpacing/>
        <w:rPr>
          <w:sz w:val="28"/>
          <w:szCs w:val="28"/>
        </w:rPr>
      </w:pPr>
      <w:r>
        <w:rPr>
          <w:rFonts w:hint="eastAsia"/>
          <w:sz w:val="28"/>
          <w:szCs w:val="28"/>
        </w:rPr>
        <w:t>根据多年（不少于3</w:t>
      </w:r>
      <w:r>
        <w:rPr>
          <w:sz w:val="28"/>
          <w:szCs w:val="28"/>
        </w:rPr>
        <w:t>0</w:t>
      </w:r>
      <w:r>
        <w:rPr>
          <w:rFonts w:hint="eastAsia"/>
          <w:sz w:val="28"/>
          <w:szCs w:val="28"/>
        </w:rPr>
        <w:t>年）2</w:t>
      </w:r>
      <w:r>
        <w:rPr>
          <w:sz w:val="28"/>
          <w:szCs w:val="28"/>
        </w:rPr>
        <w:t>4</w:t>
      </w:r>
      <w:r>
        <w:rPr>
          <w:rFonts w:hint="eastAsia"/>
          <w:sz w:val="28"/>
          <w:szCs w:val="28"/>
        </w:rPr>
        <w:t>h降水资料，</w:t>
      </w:r>
      <w:r>
        <w:rPr>
          <w:sz w:val="28"/>
          <w:szCs w:val="28"/>
        </w:rPr>
        <w:t>扣除小于等于2mm的降雨量数据和全部降雪数据，</w:t>
      </w:r>
      <w:r>
        <w:rPr>
          <w:rFonts w:hint="eastAsia"/>
          <w:sz w:val="28"/>
          <w:szCs w:val="28"/>
        </w:rPr>
        <w:t>以2</w:t>
      </w:r>
      <w:r>
        <w:rPr>
          <w:sz w:val="28"/>
          <w:szCs w:val="28"/>
        </w:rPr>
        <w:t>4</w:t>
      </w:r>
      <w:r>
        <w:rPr>
          <w:rFonts w:hint="eastAsia"/>
          <w:sz w:val="28"/>
          <w:szCs w:val="28"/>
        </w:rPr>
        <w:t>h降雨量作为一次降雨事件，绘制“场降雨事件与降雨量”的关系曲线（图1</w:t>
      </w:r>
      <w:r>
        <w:rPr>
          <w:sz w:val="28"/>
          <w:szCs w:val="28"/>
        </w:rPr>
        <w:t>.0.3-1</w:t>
      </w:r>
      <w:r>
        <w:rPr>
          <w:rFonts w:hint="eastAsia"/>
          <w:sz w:val="28"/>
          <w:szCs w:val="28"/>
        </w:rPr>
        <w:t>），横坐标为多年（不少于3</w:t>
      </w:r>
      <w:r>
        <w:rPr>
          <w:sz w:val="28"/>
          <w:szCs w:val="28"/>
        </w:rPr>
        <w:t>0</w:t>
      </w:r>
      <w:r>
        <w:rPr>
          <w:rFonts w:hint="eastAsia"/>
          <w:sz w:val="28"/>
          <w:szCs w:val="28"/>
        </w:rPr>
        <w:t>年）降雨事件（按</w:t>
      </w:r>
      <w:r>
        <w:rPr>
          <w:sz w:val="28"/>
          <w:szCs w:val="28"/>
        </w:rPr>
        <w:t>24h降雨量由小到大排序</w:t>
      </w:r>
      <w:r>
        <w:rPr>
          <w:rFonts w:hint="eastAsia"/>
          <w:sz w:val="28"/>
          <w:szCs w:val="28"/>
        </w:rPr>
        <w:t>）的累计数，纵坐标为相应降雨事件的降雨量。</w:t>
      </w:r>
    </w:p>
    <w:p>
      <w:pPr>
        <w:spacing w:line="300" w:lineRule="auto"/>
        <w:jc w:val="center"/>
      </w:pPr>
      <w:bookmarkStart w:id="35" w:name="_Hlk516694077"/>
      <w: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1913890</wp:posOffset>
                </wp:positionV>
                <wp:extent cx="305879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05907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5.9pt;margin-top:150.7pt;height:0pt;width:240.85pt;z-index:251660288;mso-width-relative:page;mso-height-relative:page;" filled="f" stroked="t" coordsize="21600,21600" o:gfxdata="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1sHT9gAAAALAQAADwAAAAAAAAABACAAAAAiAAAAZHJzL2Rvd25yZXYueG1s&#10;UEsBAhQAFAAAAAgAh07iQLF4RCG/AQAATQMAAA4AAAAAAAAAAQAgAAAAJwEAAGRycy9lMm9Eb2Mu&#10;eG1sUEsFBgAAAAAGAAYAWQEAAFgFAAAAAA==&#10;">
                <v:fill on="f" focussize="0,0"/>
                <v:stroke color="#000000 [3213]" joinstyle="round" dashstyle="dash"/>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4046855</wp:posOffset>
                </wp:positionH>
                <wp:positionV relativeFrom="paragraph">
                  <wp:posOffset>1910715</wp:posOffset>
                </wp:positionV>
                <wp:extent cx="614680" cy="0"/>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614419" cy="0"/>
                        </a:xfrm>
                        <a:prstGeom prst="line">
                          <a:avLst/>
                        </a:prstGeom>
                        <a:ln w="1905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8.65pt;margin-top:150.45pt;height:0pt;width:48.4pt;z-index:251658240;mso-width-relative:page;mso-height-relative:page;" filled="f" stroked="t" coordsize="21600,21600" o:gfxdata="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RWHE9gAAAALAQAADwAAAAAAAAABACAAAAAiAAAAZHJzL2Rvd25y&#10;ZXYueG1sUEsBAhQAFAAAAAgAh07iQGOyvWLFAQAAWAMAAA4AAAAAAAAAAQAgAAAAJwEAAGRycy9l&#10;Mm9Eb2MueG1sUEsFBgAAAAAGAAYAWQEAAF4FAAAAAA==&#10;">
                <v:fill on="f" focussize="0,0"/>
                <v:stroke weight="1.5pt" color="#FFFFFF [3204]"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4050030</wp:posOffset>
                </wp:positionH>
                <wp:positionV relativeFrom="paragraph">
                  <wp:posOffset>1915160</wp:posOffset>
                </wp:positionV>
                <wp:extent cx="0" cy="307340"/>
                <wp:effectExtent l="0" t="0" r="38100" b="17145"/>
                <wp:wrapNone/>
                <wp:docPr id="15" name="直接连接符 15"/>
                <wp:cNvGraphicFramePr/>
                <a:graphic xmlns:a="http://schemas.openxmlformats.org/drawingml/2006/main">
                  <a:graphicData uri="http://schemas.microsoft.com/office/word/2010/wordprocessingShape">
                    <wps:wsp>
                      <wps:cNvCnPr/>
                      <wps:spPr>
                        <a:xfrm flipV="1">
                          <a:off x="0" y="0"/>
                          <a:ext cx="0" cy="307091"/>
                        </a:xfrm>
                        <a:prstGeom prst="line">
                          <a:avLst/>
                        </a:prstGeom>
                        <a:ln w="1905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8.9pt;margin-top:150.8pt;height:24.2pt;width:0pt;z-index:251659264;mso-width-relative:page;mso-height-relative:page;" filled="f" stroked="t" coordsize="21600,21600" o:gfxdata="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3PpK1wAAAAsBAAAPAAAAAAAAAAEAIAAAACIAAABkcnMvZG93bnJldi54&#10;bWxQSwECFAAUAAAACACHTuJA/sKPNsIBAABYAwAADgAAAAAAAAABACAAAAAmAQAAZHJzL2Uyb0Rv&#10;Yy54bWxQSwUGAAAAAAYABgBZAQAAWgUAAAAA&#10;">
                <v:fill on="f" focussize="0,0"/>
                <v:stroke weight="1.5pt" color="#FFFFFF [3204]" joinstyle="round"/>
                <v:imagedata o:title=""/>
                <o:lock v:ext="edit" aspectratio="f"/>
              </v:line>
            </w:pict>
          </mc:Fallback>
        </mc:AlternateContent>
      </w:r>
      <w:r>
        <w:drawing>
          <wp:inline distT="0" distB="0" distL="0" distR="0">
            <wp:extent cx="4460875" cy="2573655"/>
            <wp:effectExtent l="0" t="0" r="15875" b="1714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35"/>
    <w:p>
      <w:pPr>
        <w:snapToGrid w:val="0"/>
        <w:spacing w:after="0" w:line="360" w:lineRule="auto"/>
        <w:contextualSpacing/>
        <w:jc w:val="center"/>
        <w:rPr>
          <w:rFonts w:eastAsia="黑体"/>
          <w:b/>
          <w:szCs w:val="21"/>
        </w:rPr>
      </w:pPr>
      <w:r>
        <w:rPr>
          <w:rFonts w:hint="eastAsia" w:eastAsia="黑体"/>
          <w:b/>
          <w:szCs w:val="21"/>
        </w:rPr>
        <w:t>图1.</w:t>
      </w:r>
      <w:r>
        <w:rPr>
          <w:rFonts w:eastAsia="黑体"/>
          <w:b/>
          <w:szCs w:val="21"/>
        </w:rPr>
        <w:t>0.3</w:t>
      </w:r>
      <w:r>
        <w:rPr>
          <w:rFonts w:hint="eastAsia" w:eastAsia="黑体"/>
          <w:b/>
          <w:szCs w:val="21"/>
        </w:rPr>
        <w:t>-</w:t>
      </w:r>
      <w:r>
        <w:rPr>
          <w:rFonts w:eastAsia="黑体"/>
          <w:b/>
          <w:szCs w:val="21"/>
        </w:rPr>
        <w:t xml:space="preserve">1 </w:t>
      </w:r>
      <w:r>
        <w:rPr>
          <w:rFonts w:hint="eastAsia" w:eastAsia="黑体"/>
          <w:b/>
          <w:szCs w:val="21"/>
        </w:rPr>
        <w:t>降雨事件与降雨量关系曲线示意图</w:t>
      </w:r>
    </w:p>
    <w:p>
      <w:pPr>
        <w:snapToGrid w:val="0"/>
        <w:spacing w:after="0" w:line="360" w:lineRule="auto"/>
        <w:contextualSpacing/>
        <w:rPr>
          <w:sz w:val="28"/>
          <w:szCs w:val="28"/>
        </w:rPr>
      </w:pPr>
      <w:r>
        <w:rPr>
          <w:rFonts w:hint="eastAsia"/>
          <w:sz w:val="28"/>
          <w:szCs w:val="28"/>
        </w:rPr>
        <w:t xml:space="preserve"> </w:t>
      </w:r>
      <w:r>
        <w:rPr>
          <w:sz w:val="28"/>
          <w:szCs w:val="28"/>
        </w:rPr>
        <w:t xml:space="preserve">   根据该曲线可求得雨水年径流总量控制率α所对应的设计降雨深度H。α=（C1+C2）/（C1+C2+C3）。</w:t>
      </w:r>
    </w:p>
    <w:p>
      <w:pPr>
        <w:snapToGrid w:val="0"/>
        <w:spacing w:after="0" w:line="360" w:lineRule="auto"/>
        <w:ind w:firstLine="563"/>
        <w:contextualSpacing/>
        <w:rPr>
          <w:sz w:val="28"/>
          <w:szCs w:val="28"/>
        </w:rPr>
      </w:pPr>
      <w:r>
        <w:rPr>
          <w:sz w:val="28"/>
          <w:szCs w:val="28"/>
        </w:rPr>
        <w:t>根据</w:t>
      </w:r>
      <w:r>
        <w:rPr>
          <w:rFonts w:hint="eastAsia"/>
          <w:sz w:val="28"/>
          <w:szCs w:val="28"/>
        </w:rPr>
        <w:t>图1.</w:t>
      </w:r>
      <w:r>
        <w:rPr>
          <w:sz w:val="28"/>
          <w:szCs w:val="28"/>
        </w:rPr>
        <w:t>0.3</w:t>
      </w:r>
      <w:r>
        <w:rPr>
          <w:rFonts w:hint="eastAsia"/>
          <w:sz w:val="28"/>
          <w:szCs w:val="28"/>
        </w:rPr>
        <w:t>-</w:t>
      </w:r>
      <w:r>
        <w:rPr>
          <w:sz w:val="28"/>
          <w:szCs w:val="28"/>
        </w:rPr>
        <w:t>1</w:t>
      </w:r>
      <w:r>
        <w:rPr>
          <w:rFonts w:hint="eastAsia"/>
          <w:sz w:val="28"/>
          <w:szCs w:val="28"/>
        </w:rPr>
        <w:t>曲线</w:t>
      </w:r>
      <w:r>
        <w:rPr>
          <w:sz w:val="28"/>
          <w:szCs w:val="28"/>
        </w:rPr>
        <w:t>，</w:t>
      </w:r>
      <w:r>
        <w:rPr>
          <w:rFonts w:hint="eastAsia"/>
          <w:sz w:val="28"/>
          <w:szCs w:val="28"/>
        </w:rPr>
        <w:t>可导出</w:t>
      </w:r>
      <w:r>
        <w:rPr>
          <w:sz w:val="28"/>
          <w:szCs w:val="28"/>
        </w:rPr>
        <w:t>系列雨水年径流总量控制率α与设计降雨深度</w:t>
      </w:r>
      <w:r>
        <w:rPr>
          <w:rFonts w:hint="eastAsia"/>
          <w:sz w:val="28"/>
          <w:szCs w:val="28"/>
        </w:rPr>
        <w:t>H</w:t>
      </w:r>
      <w:r>
        <w:rPr>
          <w:sz w:val="28"/>
          <w:szCs w:val="28"/>
        </w:rPr>
        <w:t>的关系</w:t>
      </w:r>
      <w:r>
        <w:rPr>
          <w:rFonts w:hint="eastAsia"/>
          <w:sz w:val="28"/>
          <w:szCs w:val="28"/>
        </w:rPr>
        <w:t>曲线（图</w:t>
      </w:r>
      <w:r>
        <w:rPr>
          <w:sz w:val="28"/>
          <w:szCs w:val="28"/>
        </w:rPr>
        <w:t>1.0.3-2</w:t>
      </w:r>
      <w:r>
        <w:rPr>
          <w:rFonts w:hint="eastAsia"/>
          <w:sz w:val="28"/>
          <w:szCs w:val="28"/>
        </w:rPr>
        <w:t>）</w:t>
      </w:r>
      <w:r>
        <w:rPr>
          <w:sz w:val="28"/>
          <w:szCs w:val="28"/>
        </w:rPr>
        <w:t>。</w:t>
      </w:r>
    </w:p>
    <w:p>
      <w:pPr>
        <w:snapToGrid w:val="0"/>
        <w:spacing w:after="0" w:line="360" w:lineRule="auto"/>
        <w:contextualSpacing/>
        <w:jc w:val="center"/>
        <w:rPr>
          <w:sz w:val="28"/>
          <w:szCs w:val="28"/>
        </w:rPr>
      </w:pPr>
      <w:r>
        <w:drawing>
          <wp:inline distT="0" distB="0" distL="0" distR="0">
            <wp:extent cx="4359910" cy="2557145"/>
            <wp:effectExtent l="0" t="0" r="254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napToGrid w:val="0"/>
        <w:spacing w:after="0" w:line="360" w:lineRule="auto"/>
        <w:contextualSpacing/>
        <w:jc w:val="center"/>
        <w:rPr>
          <w:rFonts w:eastAsia="黑体"/>
          <w:b/>
          <w:szCs w:val="21"/>
        </w:rPr>
      </w:pPr>
      <w:r>
        <w:rPr>
          <w:rFonts w:hint="eastAsia" w:eastAsia="黑体"/>
          <w:b/>
          <w:szCs w:val="21"/>
        </w:rPr>
        <w:t>图1.</w:t>
      </w:r>
      <w:r>
        <w:rPr>
          <w:rFonts w:eastAsia="黑体"/>
          <w:b/>
          <w:szCs w:val="21"/>
        </w:rPr>
        <w:t>0.3</w:t>
      </w:r>
      <w:r>
        <w:rPr>
          <w:rFonts w:hint="eastAsia" w:eastAsia="黑体"/>
          <w:b/>
          <w:szCs w:val="21"/>
        </w:rPr>
        <w:t>-</w:t>
      </w:r>
      <w:r>
        <w:rPr>
          <w:rFonts w:eastAsia="黑体"/>
          <w:b/>
          <w:szCs w:val="21"/>
        </w:rPr>
        <w:t>2</w:t>
      </w:r>
      <w:r>
        <w:rPr>
          <w:rFonts w:hint="eastAsia" w:eastAsia="黑体"/>
          <w:b/>
          <w:szCs w:val="21"/>
        </w:rPr>
        <w:t>雨水年径流总量控制率α与设计降雨深度H的关系曲线示意图</w:t>
      </w:r>
      <w:bookmarkEnd w:id="34"/>
    </w:p>
    <w:p>
      <w:pPr>
        <w:snapToGrid w:val="0"/>
        <w:spacing w:after="0" w:line="360" w:lineRule="auto"/>
        <w:contextualSpacing/>
        <w:jc w:val="center"/>
        <w:rPr>
          <w:rFonts w:eastAsia="黑体"/>
          <w:b/>
          <w:szCs w:val="21"/>
        </w:rPr>
      </w:pPr>
    </w:p>
    <w:p>
      <w:pPr>
        <w:snapToGrid w:val="0"/>
        <w:spacing w:after="0" w:line="360" w:lineRule="auto"/>
        <w:contextualSpacing/>
        <w:rPr>
          <w:b/>
          <w:sz w:val="28"/>
          <w:szCs w:val="28"/>
        </w:rPr>
      </w:pPr>
      <w:r>
        <w:rPr>
          <w:b/>
          <w:sz w:val="28"/>
          <w:szCs w:val="28"/>
        </w:rPr>
        <w:t>1.0.4</w:t>
      </w:r>
      <w:r>
        <w:rPr>
          <w:rFonts w:hint="eastAsia"/>
          <w:b/>
          <w:sz w:val="28"/>
          <w:szCs w:val="28"/>
        </w:rPr>
        <w:t>降雨径流控制体积的计算</w:t>
      </w:r>
    </w:p>
    <w:p>
      <w:pPr>
        <w:snapToGrid w:val="0"/>
        <w:spacing w:after="0" w:line="360" w:lineRule="auto"/>
        <w:ind w:firstLine="563"/>
        <w:contextualSpacing/>
        <w:rPr>
          <w:sz w:val="28"/>
          <w:szCs w:val="28"/>
        </w:rPr>
      </w:pPr>
      <w:r>
        <w:rPr>
          <w:rFonts w:hint="eastAsia"/>
          <w:sz w:val="28"/>
          <w:szCs w:val="28"/>
        </w:rPr>
        <w:t>根据雨水年径流总量控制率所对应的设计降雨深度，以及项目控制区面积，计算得到需控制的径流体积，以此作为径流控制设施的设计规模。</w:t>
      </w:r>
    </w:p>
    <w:p>
      <w:pPr>
        <w:snapToGrid w:val="0"/>
        <w:spacing w:after="0" w:line="360" w:lineRule="auto"/>
        <w:contextualSpacing/>
        <w:rPr>
          <w:b/>
          <w:sz w:val="28"/>
          <w:szCs w:val="28"/>
        </w:rPr>
      </w:pPr>
      <w:r>
        <w:rPr>
          <w:b/>
          <w:sz w:val="28"/>
          <w:szCs w:val="28"/>
        </w:rPr>
        <w:t>1.0.5</w:t>
      </w:r>
      <w:r>
        <w:rPr>
          <w:rFonts w:hint="eastAsia"/>
          <w:b/>
          <w:sz w:val="28"/>
          <w:szCs w:val="28"/>
        </w:rPr>
        <w:t>雨水径流污染控制</w:t>
      </w:r>
    </w:p>
    <w:p>
      <w:pPr>
        <w:snapToGrid w:val="0"/>
        <w:spacing w:after="0" w:line="360" w:lineRule="auto"/>
        <w:ind w:firstLine="563"/>
        <w:contextualSpacing/>
        <w:rPr>
          <w:sz w:val="28"/>
          <w:szCs w:val="28"/>
        </w:rPr>
      </w:pPr>
      <w:r>
        <w:rPr>
          <w:rFonts w:hint="eastAsia"/>
          <w:sz w:val="28"/>
          <w:szCs w:val="28"/>
        </w:rPr>
        <w:t>国内外大量研究和实践表明，中小降雨径流产生的径流污染负荷较大，径流污染变化的随机性和复杂性较大，径流污染一般通过径流体积进行控制。</w:t>
      </w:r>
    </w:p>
    <w:p>
      <w:pPr>
        <w:snapToGrid w:val="0"/>
        <w:spacing w:after="0" w:line="360" w:lineRule="auto"/>
        <w:ind w:firstLine="563"/>
        <w:contextualSpacing/>
        <w:rPr>
          <w:sz w:val="28"/>
          <w:szCs w:val="28"/>
        </w:rPr>
      </w:pPr>
      <w:r>
        <w:rPr>
          <w:rFonts w:hint="eastAsia"/>
          <w:sz w:val="28"/>
          <w:szCs w:val="28"/>
        </w:rPr>
        <w:t>雨水径流污染源主要与大气降尘、汽车尾气、下垫面特征等有关，成分较为复杂，其中，S</w:t>
      </w:r>
      <w:r>
        <w:rPr>
          <w:sz w:val="28"/>
          <w:szCs w:val="28"/>
        </w:rPr>
        <w:t>S</w:t>
      </w:r>
      <w:r>
        <w:rPr>
          <w:rFonts w:hint="eastAsia"/>
          <w:sz w:val="28"/>
          <w:szCs w:val="28"/>
        </w:rPr>
        <w:t>往往与其他污染物指标具有一定的相关性，故可用S</w:t>
      </w:r>
      <w:r>
        <w:rPr>
          <w:sz w:val="28"/>
          <w:szCs w:val="28"/>
        </w:rPr>
        <w:t>S</w:t>
      </w:r>
      <w:r>
        <w:rPr>
          <w:rFonts w:hint="eastAsia"/>
          <w:sz w:val="28"/>
          <w:szCs w:val="28"/>
        </w:rPr>
        <w:t>作为径流污染物控制指标。某城市下垫面S</w:t>
      </w:r>
      <w:r>
        <w:rPr>
          <w:sz w:val="28"/>
          <w:szCs w:val="28"/>
        </w:rPr>
        <w:t>S</w:t>
      </w:r>
      <w:r>
        <w:rPr>
          <w:rFonts w:hint="eastAsia"/>
          <w:sz w:val="28"/>
          <w:szCs w:val="28"/>
        </w:rPr>
        <w:t>浓度随降雨深度的变化曲线如图1</w:t>
      </w:r>
      <w:r>
        <w:rPr>
          <w:sz w:val="28"/>
          <w:szCs w:val="28"/>
        </w:rPr>
        <w:t>.0.4-1</w:t>
      </w:r>
      <w:r>
        <w:rPr>
          <w:rFonts w:hint="eastAsia"/>
          <w:sz w:val="28"/>
          <w:szCs w:val="28"/>
        </w:rPr>
        <w:t>所示。</w:t>
      </w:r>
    </w:p>
    <w:p>
      <w:pPr>
        <w:snapToGrid w:val="0"/>
        <w:spacing w:after="0" w:line="360" w:lineRule="auto"/>
        <w:ind w:firstLine="563"/>
        <w:contextualSpacing/>
        <w:rPr>
          <w:sz w:val="28"/>
          <w:szCs w:val="28"/>
        </w:rPr>
      </w:pPr>
      <w:r>
        <w:rPr>
          <w:rFonts w:hint="eastAsia"/>
          <w:sz w:val="28"/>
          <w:szCs w:val="28"/>
        </w:rPr>
        <w:t>根据S</w:t>
      </w:r>
      <w:r>
        <w:rPr>
          <w:sz w:val="28"/>
          <w:szCs w:val="28"/>
        </w:rPr>
        <w:t>S</w:t>
      </w:r>
      <w:r>
        <w:rPr>
          <w:rFonts w:hint="eastAsia"/>
          <w:sz w:val="28"/>
          <w:szCs w:val="28"/>
        </w:rPr>
        <w:t>浓度与降雨深度的变化曲线，可导出S</w:t>
      </w:r>
      <w:r>
        <w:rPr>
          <w:sz w:val="28"/>
          <w:szCs w:val="28"/>
        </w:rPr>
        <w:t>S</w:t>
      </w:r>
      <w:r>
        <w:rPr>
          <w:rFonts w:hint="eastAsia"/>
          <w:sz w:val="28"/>
          <w:szCs w:val="28"/>
        </w:rPr>
        <w:t>负荷率L（降雨深度累计产生的S</w:t>
      </w:r>
      <w:r>
        <w:rPr>
          <w:sz w:val="28"/>
          <w:szCs w:val="28"/>
        </w:rPr>
        <w:t>S</w:t>
      </w:r>
      <w:r>
        <w:rPr>
          <w:rFonts w:hint="eastAsia"/>
          <w:sz w:val="28"/>
          <w:szCs w:val="28"/>
        </w:rPr>
        <w:t>负荷/场降雨产生的S</w:t>
      </w:r>
      <w:r>
        <w:rPr>
          <w:sz w:val="28"/>
          <w:szCs w:val="28"/>
        </w:rPr>
        <w:t>S</w:t>
      </w:r>
      <w:r>
        <w:rPr>
          <w:rFonts w:hint="eastAsia"/>
          <w:sz w:val="28"/>
          <w:szCs w:val="28"/>
        </w:rPr>
        <w:t>总负荷）与降雨深度的关系曲线（图1</w:t>
      </w:r>
      <w:r>
        <w:rPr>
          <w:sz w:val="28"/>
          <w:szCs w:val="28"/>
        </w:rPr>
        <w:t>.0.4-2</w:t>
      </w:r>
      <w:r>
        <w:rPr>
          <w:rFonts w:hint="eastAsia"/>
          <w:sz w:val="28"/>
          <w:szCs w:val="28"/>
        </w:rPr>
        <w:t>）。根据径流控制设施的S</w:t>
      </w:r>
      <w:r>
        <w:rPr>
          <w:sz w:val="28"/>
          <w:szCs w:val="28"/>
        </w:rPr>
        <w:t>S</w:t>
      </w:r>
      <w:r>
        <w:rPr>
          <w:rFonts w:hint="eastAsia"/>
          <w:sz w:val="28"/>
          <w:szCs w:val="28"/>
        </w:rPr>
        <w:t>浓度削减率</w:t>
      </w:r>
      <w:r>
        <w:rPr>
          <w:sz w:val="28"/>
          <w:szCs w:val="28"/>
        </w:rPr>
        <w:t>β</w:t>
      </w:r>
      <w:r>
        <w:rPr>
          <w:rFonts w:hint="eastAsia"/>
          <w:sz w:val="28"/>
          <w:szCs w:val="28"/>
        </w:rPr>
        <w:t>（与设施类型和构造等相关），可进一步得到S</w:t>
      </w:r>
      <w:r>
        <w:rPr>
          <w:sz w:val="28"/>
          <w:szCs w:val="28"/>
        </w:rPr>
        <w:t>S</w:t>
      </w:r>
      <w:r>
        <w:rPr>
          <w:rFonts w:hint="eastAsia"/>
          <w:sz w:val="28"/>
          <w:szCs w:val="28"/>
        </w:rPr>
        <w:t>总量削减率L</w:t>
      </w:r>
      <w:r>
        <w:rPr>
          <w:sz w:val="28"/>
          <w:szCs w:val="28"/>
        </w:rPr>
        <w:t>’</w:t>
      </w:r>
      <w:r>
        <w:rPr>
          <w:rFonts w:hint="eastAsia"/>
          <w:sz w:val="28"/>
          <w:szCs w:val="28"/>
        </w:rPr>
        <w:t>与设计降雨深度的关系曲线（图1</w:t>
      </w:r>
      <w:r>
        <w:rPr>
          <w:sz w:val="28"/>
          <w:szCs w:val="28"/>
        </w:rPr>
        <w:t>.0.4-3</w:t>
      </w:r>
      <w:r>
        <w:rPr>
          <w:rFonts w:hint="eastAsia"/>
          <w:sz w:val="28"/>
          <w:szCs w:val="28"/>
        </w:rPr>
        <w:t>），L</w:t>
      </w:r>
      <w:r>
        <w:rPr>
          <w:sz w:val="28"/>
          <w:szCs w:val="28"/>
        </w:rPr>
        <w:t>’</w:t>
      </w:r>
      <w:r>
        <w:rPr>
          <w:rFonts w:hint="eastAsia"/>
          <w:sz w:val="28"/>
          <w:szCs w:val="28"/>
        </w:rPr>
        <w:t>=</w:t>
      </w:r>
      <w:r>
        <w:rPr>
          <w:sz w:val="28"/>
          <w:szCs w:val="28"/>
        </w:rPr>
        <w:t>L</w:t>
      </w:r>
      <w:r>
        <w:rPr>
          <w:rFonts w:hint="eastAsia"/>
          <w:sz w:val="28"/>
          <w:szCs w:val="28"/>
        </w:rPr>
        <w:t>·</w:t>
      </w:r>
      <w:r>
        <w:rPr>
          <w:sz w:val="28"/>
          <w:szCs w:val="28"/>
        </w:rPr>
        <w:t>β</w:t>
      </w:r>
      <w:r>
        <w:rPr>
          <w:rFonts w:hint="eastAsia"/>
          <w:sz w:val="28"/>
          <w:szCs w:val="28"/>
        </w:rPr>
        <w:t>。据此可知，可通过源头径流体积控制达到径流污染控制目标。</w:t>
      </w:r>
    </w:p>
    <w:p>
      <w:pPr>
        <w:snapToGrid w:val="0"/>
        <w:spacing w:after="0" w:line="360" w:lineRule="auto"/>
        <w:ind w:firstLine="563"/>
        <w:contextualSpacing/>
        <w:rPr>
          <w:sz w:val="28"/>
          <w:szCs w:val="28"/>
        </w:rPr>
      </w:pPr>
      <w:r>
        <w:drawing>
          <wp:inline distT="0" distB="0" distL="0" distR="0">
            <wp:extent cx="4575175" cy="2731135"/>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napToGrid w:val="0"/>
        <w:spacing w:after="0" w:line="240" w:lineRule="auto"/>
        <w:contextualSpacing/>
        <w:jc w:val="center"/>
        <w:rPr>
          <w:rFonts w:eastAsia="黑体"/>
          <w:b/>
          <w:szCs w:val="21"/>
        </w:rPr>
      </w:pPr>
      <w:r>
        <w:rPr>
          <w:rFonts w:hint="eastAsia" w:eastAsia="黑体"/>
          <w:b/>
          <w:szCs w:val="21"/>
        </w:rPr>
        <w:t>图</w:t>
      </w:r>
      <w:r>
        <w:rPr>
          <w:rFonts w:eastAsia="黑体"/>
          <w:b/>
          <w:szCs w:val="21"/>
        </w:rPr>
        <w:t>1</w:t>
      </w:r>
      <w:r>
        <w:rPr>
          <w:rFonts w:hint="eastAsia" w:eastAsia="黑体"/>
          <w:b/>
          <w:szCs w:val="21"/>
        </w:rPr>
        <w:t>.</w:t>
      </w:r>
      <w:r>
        <w:rPr>
          <w:rFonts w:eastAsia="黑体"/>
          <w:b/>
          <w:szCs w:val="21"/>
        </w:rPr>
        <w:t>0.4</w:t>
      </w:r>
      <w:r>
        <w:rPr>
          <w:rFonts w:hint="eastAsia" w:eastAsia="黑体"/>
          <w:b/>
          <w:szCs w:val="21"/>
        </w:rPr>
        <w:t>-</w:t>
      </w:r>
      <w:r>
        <w:rPr>
          <w:rFonts w:eastAsia="黑体"/>
          <w:b/>
          <w:szCs w:val="21"/>
        </w:rPr>
        <w:t xml:space="preserve">1 </w:t>
      </w:r>
      <w:r>
        <w:rPr>
          <w:rFonts w:hint="eastAsia" w:eastAsia="黑体"/>
          <w:b/>
          <w:szCs w:val="21"/>
        </w:rPr>
        <w:t>道路与屋面</w:t>
      </w:r>
      <w:r>
        <w:rPr>
          <w:rFonts w:eastAsia="黑体"/>
          <w:b/>
          <w:szCs w:val="21"/>
        </w:rPr>
        <w:t>SS</w:t>
      </w:r>
      <w:r>
        <w:rPr>
          <w:rFonts w:hint="eastAsia" w:eastAsia="黑体"/>
          <w:b/>
          <w:szCs w:val="21"/>
        </w:rPr>
        <w:t>浓度与降雨深度关系曲线</w:t>
      </w:r>
    </w:p>
    <w:p>
      <w:pPr>
        <w:snapToGrid w:val="0"/>
        <w:spacing w:after="0" w:line="360" w:lineRule="auto"/>
        <w:contextualSpacing/>
        <w:jc w:val="center"/>
        <w:rPr>
          <w:rFonts w:eastAsia="黑体"/>
          <w:b/>
          <w:szCs w:val="21"/>
        </w:rPr>
      </w:pPr>
      <w:r>
        <w:rPr>
          <w:rFonts w:hint="eastAsia" w:eastAsia="黑体"/>
          <w:b/>
          <w:szCs w:val="21"/>
        </w:rPr>
        <w:t>（根据某场降雨监测数据）</w:t>
      </w:r>
    </w:p>
    <w:p>
      <w:pPr>
        <w:snapToGrid w:val="0"/>
        <w:spacing w:after="0" w:line="360" w:lineRule="auto"/>
        <w:contextualSpacing/>
        <w:jc w:val="center"/>
        <w:rPr>
          <w:sz w:val="28"/>
          <w:szCs w:val="28"/>
        </w:rPr>
      </w:pPr>
      <w:r>
        <w:drawing>
          <wp:inline distT="0" distB="0" distL="0" distR="0">
            <wp:extent cx="4536440" cy="260286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napToGrid w:val="0"/>
        <w:spacing w:after="0" w:line="240" w:lineRule="auto"/>
        <w:contextualSpacing/>
        <w:jc w:val="center"/>
        <w:rPr>
          <w:rFonts w:eastAsia="黑体"/>
          <w:b/>
          <w:szCs w:val="21"/>
        </w:rPr>
      </w:pPr>
      <w:r>
        <w:rPr>
          <w:rFonts w:hint="eastAsia" w:eastAsia="黑体"/>
          <w:b/>
          <w:szCs w:val="21"/>
        </w:rPr>
        <w:t>图</w:t>
      </w:r>
      <w:r>
        <w:rPr>
          <w:rFonts w:eastAsia="黑体"/>
          <w:b/>
          <w:szCs w:val="21"/>
        </w:rPr>
        <w:t>1</w:t>
      </w:r>
      <w:r>
        <w:rPr>
          <w:rFonts w:hint="eastAsia" w:eastAsia="黑体"/>
          <w:b/>
          <w:szCs w:val="21"/>
        </w:rPr>
        <w:t>.</w:t>
      </w:r>
      <w:r>
        <w:rPr>
          <w:rFonts w:eastAsia="黑体"/>
          <w:b/>
          <w:szCs w:val="21"/>
        </w:rPr>
        <w:t>0.4</w:t>
      </w:r>
      <w:r>
        <w:rPr>
          <w:rFonts w:hint="eastAsia" w:eastAsia="黑体"/>
          <w:b/>
          <w:szCs w:val="21"/>
        </w:rPr>
        <w:t>-</w:t>
      </w:r>
      <w:r>
        <w:rPr>
          <w:rFonts w:eastAsia="黑体"/>
          <w:b/>
          <w:szCs w:val="21"/>
        </w:rPr>
        <w:t xml:space="preserve">2 </w:t>
      </w:r>
      <w:r>
        <w:rPr>
          <w:rFonts w:hint="eastAsia" w:eastAsia="黑体"/>
          <w:b/>
          <w:szCs w:val="21"/>
        </w:rPr>
        <w:t>道路与屋面</w:t>
      </w:r>
      <w:r>
        <w:rPr>
          <w:rFonts w:eastAsia="黑体"/>
          <w:b/>
          <w:szCs w:val="21"/>
        </w:rPr>
        <w:t>SS</w:t>
      </w:r>
      <w:r>
        <w:rPr>
          <w:rFonts w:hint="eastAsia" w:eastAsia="黑体"/>
          <w:b/>
          <w:szCs w:val="21"/>
        </w:rPr>
        <w:t>污染负荷率与降雨深度关系曲线</w:t>
      </w:r>
    </w:p>
    <w:p>
      <w:pPr>
        <w:snapToGrid w:val="0"/>
        <w:spacing w:after="0" w:line="360" w:lineRule="auto"/>
        <w:contextualSpacing/>
        <w:jc w:val="center"/>
        <w:rPr>
          <w:rFonts w:eastAsia="黑体"/>
          <w:b/>
          <w:szCs w:val="21"/>
        </w:rPr>
      </w:pPr>
      <w:r>
        <w:rPr>
          <w:rFonts w:hint="eastAsia" w:eastAsia="黑体"/>
          <w:b/>
          <w:szCs w:val="21"/>
        </w:rPr>
        <w:t>（根据某场降雨监测数据绘制）</w:t>
      </w:r>
    </w:p>
    <w:p>
      <w:pPr>
        <w:snapToGrid w:val="0"/>
        <w:spacing w:after="0" w:line="360" w:lineRule="auto"/>
        <w:contextualSpacing/>
        <w:jc w:val="center"/>
        <w:rPr>
          <w:b/>
          <w:sz w:val="28"/>
          <w:szCs w:val="28"/>
        </w:rPr>
      </w:pPr>
      <w:r>
        <w:drawing>
          <wp:inline distT="0" distB="0" distL="0" distR="0">
            <wp:extent cx="4507865" cy="2533015"/>
            <wp:effectExtent l="0" t="0" r="0" b="63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napToGrid w:val="0"/>
        <w:spacing w:after="0" w:line="240" w:lineRule="auto"/>
        <w:contextualSpacing/>
        <w:jc w:val="center"/>
        <w:rPr>
          <w:rFonts w:eastAsia="黑体"/>
          <w:b/>
          <w:szCs w:val="21"/>
        </w:rPr>
      </w:pPr>
      <w:r>
        <w:rPr>
          <w:rFonts w:hint="eastAsia" w:eastAsia="黑体"/>
          <w:b/>
          <w:szCs w:val="21"/>
        </w:rPr>
        <w:t>图</w:t>
      </w:r>
      <w:r>
        <w:rPr>
          <w:rFonts w:eastAsia="黑体"/>
          <w:b/>
          <w:szCs w:val="21"/>
        </w:rPr>
        <w:t>1</w:t>
      </w:r>
      <w:r>
        <w:rPr>
          <w:rFonts w:hint="eastAsia" w:eastAsia="黑体"/>
          <w:b/>
          <w:szCs w:val="21"/>
        </w:rPr>
        <w:t>.</w:t>
      </w:r>
      <w:r>
        <w:rPr>
          <w:rFonts w:eastAsia="黑体"/>
          <w:b/>
          <w:szCs w:val="21"/>
        </w:rPr>
        <w:t>0.4</w:t>
      </w:r>
      <w:r>
        <w:rPr>
          <w:rFonts w:hint="eastAsia" w:eastAsia="黑体"/>
          <w:b/>
          <w:szCs w:val="21"/>
        </w:rPr>
        <w:t>-</w:t>
      </w:r>
      <w:r>
        <w:rPr>
          <w:rFonts w:eastAsia="黑体"/>
          <w:b/>
          <w:szCs w:val="21"/>
        </w:rPr>
        <w:t xml:space="preserve">3 </w:t>
      </w:r>
      <w:r>
        <w:rPr>
          <w:rFonts w:hint="eastAsia" w:eastAsia="黑体"/>
          <w:b/>
          <w:szCs w:val="21"/>
        </w:rPr>
        <w:t>道路与屋面</w:t>
      </w:r>
      <w:r>
        <w:rPr>
          <w:rFonts w:eastAsia="黑体"/>
          <w:b/>
          <w:szCs w:val="21"/>
        </w:rPr>
        <w:t>SS</w:t>
      </w:r>
      <w:r>
        <w:rPr>
          <w:rFonts w:hint="eastAsia" w:eastAsia="黑体"/>
          <w:b/>
          <w:szCs w:val="21"/>
        </w:rPr>
        <w:t>总量削减率与降雨深度关系曲线</w:t>
      </w:r>
    </w:p>
    <w:p>
      <w:pPr>
        <w:snapToGrid w:val="0"/>
        <w:spacing w:after="0" w:line="360" w:lineRule="auto"/>
        <w:contextualSpacing/>
        <w:jc w:val="center"/>
        <w:rPr>
          <w:sz w:val="28"/>
          <w:szCs w:val="28"/>
        </w:rPr>
      </w:pPr>
      <w:r>
        <w:rPr>
          <w:rFonts w:eastAsia="黑体"/>
          <w:b/>
          <w:szCs w:val="21"/>
        </w:rPr>
        <w:t>（</w:t>
      </w:r>
      <w:r>
        <w:rPr>
          <w:rFonts w:hint="eastAsia" w:eastAsia="黑体"/>
          <w:b/>
          <w:szCs w:val="21"/>
        </w:rPr>
        <w:t>根据某</w:t>
      </w:r>
      <w:r>
        <w:rPr>
          <w:rFonts w:eastAsia="黑体"/>
          <w:b/>
          <w:szCs w:val="21"/>
        </w:rPr>
        <w:t>场降雨监测数据</w:t>
      </w:r>
      <w:r>
        <w:rPr>
          <w:rFonts w:hint="eastAsia" w:eastAsia="黑体"/>
          <w:b/>
          <w:szCs w:val="21"/>
        </w:rPr>
        <w:t>绘制</w:t>
      </w:r>
      <w:r>
        <w:rPr>
          <w:rFonts w:eastAsia="黑体"/>
          <w:b/>
          <w:szCs w:val="21"/>
        </w:rPr>
        <w:t>，β=90%）</w:t>
      </w:r>
    </w:p>
    <w:p>
      <w:pPr>
        <w:snapToGrid w:val="0"/>
        <w:spacing w:after="0" w:line="360" w:lineRule="auto"/>
        <w:contextualSpacing/>
        <w:jc w:val="center"/>
        <w:rPr>
          <w:sz w:val="28"/>
          <w:szCs w:val="28"/>
        </w:rPr>
      </w:pPr>
    </w:p>
    <w:p>
      <w:pPr>
        <w:snapToGrid w:val="0"/>
        <w:spacing w:after="0" w:line="360" w:lineRule="auto"/>
        <w:contextualSpacing/>
        <w:jc w:val="center"/>
        <w:rPr>
          <w:sz w:val="28"/>
          <w:szCs w:val="28"/>
        </w:rPr>
      </w:pPr>
    </w:p>
    <w:bookmarkEnd w:id="30"/>
    <w:bookmarkEnd w:id="31"/>
    <w:p>
      <w:pPr>
        <w:widowControl/>
        <w:jc w:val="left"/>
        <w:rPr>
          <w:b/>
          <w:spacing w:val="8"/>
          <w:kern w:val="0"/>
          <w:sz w:val="32"/>
          <w:szCs w:val="32"/>
        </w:rPr>
      </w:pPr>
      <w:r>
        <w:br w:type="page"/>
      </w:r>
    </w:p>
    <w:p>
      <w:pPr>
        <w:pStyle w:val="2"/>
      </w:pPr>
      <w:bookmarkStart w:id="36" w:name="_Toc517339215"/>
      <w:r>
        <w:rPr>
          <w:rFonts w:hint="eastAsia"/>
        </w:rPr>
        <w:t>本标准用词说明</w:t>
      </w:r>
      <w:bookmarkEnd w:id="32"/>
      <w:bookmarkEnd w:id="33"/>
      <w:bookmarkEnd w:id="36"/>
    </w:p>
    <w:p>
      <w:pPr>
        <w:snapToGrid w:val="0"/>
        <w:spacing w:after="0" w:line="360" w:lineRule="auto"/>
        <w:ind w:firstLine="482" w:firstLineChars="200"/>
        <w:contextualSpacing/>
        <w:rPr>
          <w:sz w:val="24"/>
        </w:rPr>
      </w:pPr>
      <w:r>
        <w:rPr>
          <w:b/>
          <w:sz w:val="24"/>
        </w:rPr>
        <w:t>1</w:t>
      </w:r>
      <w:r>
        <w:rPr>
          <w:sz w:val="24"/>
        </w:rPr>
        <w:t xml:space="preserve">  </w:t>
      </w:r>
      <w:r>
        <w:rPr>
          <w:rFonts w:hint="eastAsia"/>
          <w:sz w:val="24"/>
        </w:rPr>
        <w:t>为便于在执行本标准条文时区别对待，对要求严格程度不同的用词说明如下：</w:t>
      </w:r>
    </w:p>
    <w:p>
      <w:pPr>
        <w:snapToGrid w:val="0"/>
        <w:spacing w:after="0" w:line="360" w:lineRule="auto"/>
        <w:ind w:firstLine="482" w:firstLineChars="200"/>
        <w:contextualSpacing/>
        <w:rPr>
          <w:sz w:val="24"/>
        </w:rPr>
      </w:pPr>
      <w:r>
        <w:rPr>
          <w:b/>
          <w:sz w:val="24"/>
        </w:rPr>
        <w:t>1</w:t>
      </w:r>
      <w:r>
        <w:rPr>
          <w:rFonts w:hint="eastAsia"/>
          <w:sz w:val="24"/>
        </w:rPr>
        <w:t>）表示很严格，非这样做不可的：</w:t>
      </w:r>
    </w:p>
    <w:p>
      <w:pPr>
        <w:snapToGrid w:val="0"/>
        <w:spacing w:after="0" w:line="360" w:lineRule="auto"/>
        <w:ind w:firstLine="840"/>
        <w:contextualSpacing/>
        <w:rPr>
          <w:sz w:val="24"/>
        </w:rPr>
      </w:pPr>
      <w:r>
        <w:rPr>
          <w:rFonts w:hint="eastAsia"/>
          <w:sz w:val="24"/>
        </w:rPr>
        <w:t>正面词采用</w:t>
      </w:r>
      <w:r>
        <w:rPr>
          <w:sz w:val="24"/>
        </w:rPr>
        <w:t>“</w:t>
      </w:r>
      <w:r>
        <w:rPr>
          <w:rFonts w:hint="eastAsia"/>
          <w:sz w:val="24"/>
        </w:rPr>
        <w:t>必须</w:t>
      </w:r>
      <w:r>
        <w:rPr>
          <w:sz w:val="24"/>
        </w:rPr>
        <w:t>”</w:t>
      </w:r>
      <w:r>
        <w:rPr>
          <w:rFonts w:hint="eastAsia"/>
          <w:sz w:val="24"/>
        </w:rPr>
        <w:t>，反面词采用</w:t>
      </w:r>
      <w:r>
        <w:rPr>
          <w:sz w:val="24"/>
        </w:rPr>
        <w:t>“</w:t>
      </w:r>
      <w:r>
        <w:rPr>
          <w:rFonts w:hint="eastAsia"/>
          <w:sz w:val="24"/>
        </w:rPr>
        <w:t>严禁</w:t>
      </w:r>
      <w:r>
        <w:rPr>
          <w:sz w:val="24"/>
        </w:rPr>
        <w:t>”</w:t>
      </w:r>
      <w:r>
        <w:rPr>
          <w:rFonts w:hint="eastAsia"/>
          <w:sz w:val="24"/>
        </w:rPr>
        <w:t>；</w:t>
      </w:r>
    </w:p>
    <w:p>
      <w:pPr>
        <w:snapToGrid w:val="0"/>
        <w:spacing w:after="0" w:line="360" w:lineRule="auto"/>
        <w:ind w:firstLine="482" w:firstLineChars="200"/>
        <w:contextualSpacing/>
        <w:rPr>
          <w:sz w:val="24"/>
        </w:rPr>
      </w:pPr>
      <w:r>
        <w:rPr>
          <w:b/>
          <w:sz w:val="24"/>
        </w:rPr>
        <w:t>2</w:t>
      </w:r>
      <w:r>
        <w:rPr>
          <w:rFonts w:hint="eastAsia"/>
          <w:sz w:val="24"/>
        </w:rPr>
        <w:t>）表示严格，在正常情况下均应这样做的：</w:t>
      </w:r>
    </w:p>
    <w:p>
      <w:pPr>
        <w:snapToGrid w:val="0"/>
        <w:spacing w:after="0" w:line="360" w:lineRule="auto"/>
        <w:ind w:firstLine="840"/>
        <w:contextualSpacing/>
        <w:rPr>
          <w:sz w:val="24"/>
        </w:rPr>
      </w:pPr>
      <w:r>
        <w:rPr>
          <w:rFonts w:hint="eastAsia"/>
          <w:sz w:val="24"/>
        </w:rPr>
        <w:t>正面词采用</w:t>
      </w:r>
      <w:r>
        <w:rPr>
          <w:sz w:val="24"/>
        </w:rPr>
        <w:t>“</w:t>
      </w:r>
      <w:r>
        <w:rPr>
          <w:rFonts w:hint="eastAsia"/>
          <w:sz w:val="24"/>
        </w:rPr>
        <w:t>应</w:t>
      </w:r>
      <w:r>
        <w:rPr>
          <w:sz w:val="24"/>
        </w:rPr>
        <w:t>”</w:t>
      </w:r>
      <w:r>
        <w:rPr>
          <w:rFonts w:hint="eastAsia"/>
          <w:sz w:val="24"/>
        </w:rPr>
        <w:t>，反面词采用</w:t>
      </w:r>
      <w:r>
        <w:rPr>
          <w:sz w:val="24"/>
        </w:rPr>
        <w:t>“</w:t>
      </w:r>
      <w:r>
        <w:rPr>
          <w:rFonts w:hint="eastAsia"/>
          <w:sz w:val="24"/>
        </w:rPr>
        <w:t>不应</w:t>
      </w:r>
      <w:r>
        <w:rPr>
          <w:sz w:val="24"/>
        </w:rPr>
        <w:t>”</w:t>
      </w:r>
      <w:r>
        <w:rPr>
          <w:rFonts w:hint="eastAsia"/>
          <w:sz w:val="24"/>
        </w:rPr>
        <w:t>或</w:t>
      </w:r>
      <w:r>
        <w:rPr>
          <w:sz w:val="24"/>
        </w:rPr>
        <w:t>“</w:t>
      </w:r>
      <w:r>
        <w:rPr>
          <w:rFonts w:hint="eastAsia"/>
          <w:sz w:val="24"/>
        </w:rPr>
        <w:t>不得</w:t>
      </w:r>
      <w:r>
        <w:rPr>
          <w:sz w:val="24"/>
        </w:rPr>
        <w:t>”</w:t>
      </w:r>
      <w:r>
        <w:rPr>
          <w:rFonts w:hint="eastAsia"/>
          <w:sz w:val="24"/>
        </w:rPr>
        <w:t>；</w:t>
      </w:r>
    </w:p>
    <w:p>
      <w:pPr>
        <w:snapToGrid w:val="0"/>
        <w:spacing w:after="0" w:line="360" w:lineRule="auto"/>
        <w:ind w:firstLine="482" w:firstLineChars="200"/>
        <w:contextualSpacing/>
        <w:rPr>
          <w:sz w:val="24"/>
        </w:rPr>
      </w:pPr>
      <w:r>
        <w:rPr>
          <w:b/>
          <w:sz w:val="24"/>
        </w:rPr>
        <w:t>3</w:t>
      </w:r>
      <w:r>
        <w:rPr>
          <w:rFonts w:hint="eastAsia"/>
          <w:sz w:val="24"/>
        </w:rPr>
        <w:t>）表示允许稍有选择，在条件许可时首先应这样做的：</w:t>
      </w:r>
    </w:p>
    <w:p>
      <w:pPr>
        <w:snapToGrid w:val="0"/>
        <w:spacing w:after="0" w:line="360" w:lineRule="auto"/>
        <w:ind w:firstLine="840"/>
        <w:contextualSpacing/>
        <w:rPr>
          <w:sz w:val="24"/>
        </w:rPr>
      </w:pPr>
      <w:r>
        <w:rPr>
          <w:rFonts w:hint="eastAsia"/>
          <w:sz w:val="24"/>
        </w:rPr>
        <w:t>正面词采用</w:t>
      </w:r>
      <w:r>
        <w:rPr>
          <w:sz w:val="24"/>
        </w:rPr>
        <w:t>“</w:t>
      </w:r>
      <w:r>
        <w:rPr>
          <w:rFonts w:hint="eastAsia"/>
          <w:sz w:val="24"/>
        </w:rPr>
        <w:t>宜</w:t>
      </w:r>
      <w:r>
        <w:rPr>
          <w:sz w:val="24"/>
        </w:rPr>
        <w:t>”</w:t>
      </w:r>
      <w:r>
        <w:rPr>
          <w:rFonts w:hint="eastAsia"/>
          <w:sz w:val="24"/>
        </w:rPr>
        <w:t>，反面词采用</w:t>
      </w:r>
      <w:r>
        <w:rPr>
          <w:sz w:val="24"/>
        </w:rPr>
        <w:t>“</w:t>
      </w:r>
      <w:r>
        <w:rPr>
          <w:rFonts w:hint="eastAsia"/>
          <w:sz w:val="24"/>
        </w:rPr>
        <w:t>不宜</w:t>
      </w:r>
      <w:r>
        <w:rPr>
          <w:sz w:val="24"/>
        </w:rPr>
        <w:t>”</w:t>
      </w:r>
      <w:r>
        <w:rPr>
          <w:rFonts w:hint="eastAsia"/>
          <w:sz w:val="24"/>
        </w:rPr>
        <w:t>；</w:t>
      </w:r>
    </w:p>
    <w:p>
      <w:pPr>
        <w:snapToGrid w:val="0"/>
        <w:spacing w:after="0" w:line="360" w:lineRule="auto"/>
        <w:contextualSpacing/>
        <w:rPr>
          <w:sz w:val="24"/>
        </w:rPr>
      </w:pPr>
      <w:r>
        <w:rPr>
          <w:sz w:val="24"/>
        </w:rPr>
        <w:t xml:space="preserve">    </w:t>
      </w:r>
      <w:r>
        <w:rPr>
          <w:b/>
          <w:sz w:val="24"/>
        </w:rPr>
        <w:t>4</w:t>
      </w:r>
      <w:r>
        <w:rPr>
          <w:rFonts w:hint="eastAsia"/>
          <w:sz w:val="24"/>
        </w:rPr>
        <w:t>）表示有选择，在一定条件下可以这样做的，采用</w:t>
      </w:r>
      <w:r>
        <w:rPr>
          <w:sz w:val="24"/>
        </w:rPr>
        <w:t>“</w:t>
      </w:r>
      <w:r>
        <w:rPr>
          <w:rFonts w:hint="eastAsia"/>
          <w:sz w:val="24"/>
        </w:rPr>
        <w:t>可</w:t>
      </w:r>
      <w:r>
        <w:rPr>
          <w:sz w:val="24"/>
        </w:rPr>
        <w:t>”</w:t>
      </w:r>
      <w:r>
        <w:rPr>
          <w:rFonts w:hint="eastAsia"/>
          <w:sz w:val="24"/>
        </w:rPr>
        <w:t>。</w:t>
      </w:r>
    </w:p>
    <w:p>
      <w:pPr>
        <w:snapToGrid w:val="0"/>
        <w:spacing w:after="0" w:line="360" w:lineRule="auto"/>
        <w:ind w:firstLine="482" w:firstLineChars="200"/>
        <w:contextualSpacing/>
        <w:rPr>
          <w:sz w:val="24"/>
        </w:rPr>
      </w:pPr>
      <w:r>
        <w:rPr>
          <w:b/>
          <w:sz w:val="24"/>
        </w:rPr>
        <w:t>2</w:t>
      </w:r>
      <w:r>
        <w:rPr>
          <w:sz w:val="24"/>
        </w:rPr>
        <w:t xml:space="preserve">  </w:t>
      </w:r>
      <w:r>
        <w:rPr>
          <w:rFonts w:hint="eastAsia"/>
          <w:sz w:val="24"/>
        </w:rPr>
        <w:t>条文中指明应按其他有关标准执行的写法为：</w:t>
      </w:r>
      <w:r>
        <w:rPr>
          <w:sz w:val="24"/>
        </w:rPr>
        <w:t>“</w:t>
      </w:r>
      <w:r>
        <w:rPr>
          <w:rFonts w:hint="eastAsia"/>
          <w:sz w:val="24"/>
        </w:rPr>
        <w:t>应符合</w:t>
      </w:r>
      <w:r>
        <w:rPr>
          <w:sz w:val="24"/>
        </w:rPr>
        <w:t>……</w:t>
      </w:r>
      <w:r>
        <w:rPr>
          <w:rFonts w:hint="eastAsia"/>
          <w:sz w:val="24"/>
        </w:rPr>
        <w:t>的规定</w:t>
      </w:r>
      <w:r>
        <w:rPr>
          <w:sz w:val="24"/>
        </w:rPr>
        <w:t>”</w:t>
      </w:r>
      <w:r>
        <w:rPr>
          <w:rFonts w:hint="eastAsia"/>
          <w:sz w:val="24"/>
        </w:rPr>
        <w:t>或</w:t>
      </w:r>
      <w:r>
        <w:rPr>
          <w:sz w:val="24"/>
        </w:rPr>
        <w:t>“</w:t>
      </w:r>
      <w:r>
        <w:rPr>
          <w:rFonts w:hint="eastAsia"/>
          <w:sz w:val="24"/>
        </w:rPr>
        <w:t>应按</w:t>
      </w:r>
      <w:r>
        <w:rPr>
          <w:sz w:val="24"/>
        </w:rPr>
        <w:t>……</w:t>
      </w:r>
      <w:r>
        <w:rPr>
          <w:rFonts w:hint="eastAsia"/>
          <w:sz w:val="24"/>
        </w:rPr>
        <w:t>执行</w:t>
      </w:r>
      <w:r>
        <w:rPr>
          <w:sz w:val="24"/>
        </w:rPr>
        <w:t>”</w:t>
      </w:r>
      <w:r>
        <w:rPr>
          <w:rFonts w:hint="eastAsia"/>
          <w:sz w:val="24"/>
        </w:rPr>
        <w:t>。</w:t>
      </w:r>
    </w:p>
    <w:p>
      <w:pPr>
        <w:snapToGrid w:val="0"/>
        <w:spacing w:after="0" w:line="360" w:lineRule="auto"/>
        <w:contextualSpacing/>
        <w:rPr>
          <w:sz w:val="28"/>
          <w:szCs w:val="28"/>
        </w:rPr>
      </w:pPr>
      <w:r>
        <w:rPr>
          <w:sz w:val="28"/>
          <w:szCs w:val="28"/>
        </w:rPr>
        <w:br w:type="page"/>
      </w:r>
    </w:p>
    <w:p>
      <w:pPr>
        <w:pStyle w:val="2"/>
      </w:pPr>
      <w:bookmarkStart w:id="37" w:name="_Toc517339216"/>
      <w:r>
        <w:rPr>
          <w:rFonts w:hint="eastAsia"/>
        </w:rPr>
        <w:t>引用标准名录</w:t>
      </w:r>
      <w:bookmarkEnd w:id="37"/>
    </w:p>
    <w:p>
      <w:pPr>
        <w:snapToGrid w:val="0"/>
        <w:spacing w:after="0" w:line="360" w:lineRule="auto"/>
        <w:contextualSpacing/>
        <w:rPr>
          <w:sz w:val="28"/>
          <w:szCs w:val="28"/>
        </w:rPr>
      </w:pPr>
      <w:r>
        <w:rPr>
          <w:sz w:val="28"/>
          <w:szCs w:val="28"/>
        </w:rPr>
        <w:t>1</w:t>
      </w:r>
      <w:r>
        <w:rPr>
          <w:rFonts w:hint="eastAsia"/>
          <w:sz w:val="28"/>
          <w:szCs w:val="28"/>
        </w:rPr>
        <w:t>《室外排水设计规范》</w:t>
      </w:r>
      <w:r>
        <w:rPr>
          <w:sz w:val="28"/>
          <w:szCs w:val="28"/>
        </w:rPr>
        <w:t>GB 50014</w:t>
      </w:r>
    </w:p>
    <w:p>
      <w:pPr>
        <w:snapToGrid w:val="0"/>
        <w:spacing w:after="0" w:line="360" w:lineRule="auto"/>
        <w:contextualSpacing/>
        <w:rPr>
          <w:sz w:val="28"/>
          <w:szCs w:val="28"/>
        </w:rPr>
      </w:pPr>
      <w:r>
        <w:rPr>
          <w:sz w:val="28"/>
          <w:szCs w:val="28"/>
        </w:rPr>
        <w:t>2</w:t>
      </w:r>
      <w:r>
        <w:rPr>
          <w:rFonts w:hint="eastAsia"/>
          <w:sz w:val="28"/>
          <w:szCs w:val="28"/>
        </w:rPr>
        <w:t>《城镇内涝防治技术规范》</w:t>
      </w:r>
      <w:r>
        <w:rPr>
          <w:sz w:val="28"/>
          <w:szCs w:val="28"/>
        </w:rPr>
        <w:t>GB 51222</w:t>
      </w:r>
    </w:p>
    <w:p>
      <w:pPr>
        <w:snapToGrid w:val="0"/>
        <w:spacing w:after="0" w:line="360" w:lineRule="auto"/>
        <w:contextualSpacing/>
        <w:rPr>
          <w:sz w:val="28"/>
          <w:szCs w:val="28"/>
        </w:rPr>
      </w:pPr>
      <w:r>
        <w:rPr>
          <w:sz w:val="28"/>
          <w:szCs w:val="28"/>
        </w:rPr>
        <w:t>3</w:t>
      </w:r>
      <w:r>
        <w:rPr>
          <w:rFonts w:hint="eastAsia"/>
          <w:sz w:val="28"/>
          <w:szCs w:val="28"/>
        </w:rPr>
        <w:t>《城市防洪工程设计规范》</w:t>
      </w:r>
      <w:r>
        <w:rPr>
          <w:sz w:val="28"/>
          <w:szCs w:val="28"/>
        </w:rPr>
        <w:t>GB/T 50805</w:t>
      </w:r>
    </w:p>
    <w:p>
      <w:pPr>
        <w:snapToGrid w:val="0"/>
        <w:spacing w:after="0" w:line="360" w:lineRule="auto"/>
        <w:contextualSpacing/>
        <w:rPr>
          <w:sz w:val="28"/>
          <w:szCs w:val="28"/>
        </w:rPr>
      </w:pPr>
      <w:r>
        <w:rPr>
          <w:sz w:val="28"/>
          <w:szCs w:val="28"/>
        </w:rPr>
        <w:t>4</w:t>
      </w:r>
      <w:r>
        <w:rPr>
          <w:rFonts w:hint="eastAsia"/>
          <w:sz w:val="28"/>
          <w:szCs w:val="28"/>
        </w:rPr>
        <w:t>《城市排水工程规划规范》</w:t>
      </w:r>
      <w:r>
        <w:rPr>
          <w:sz w:val="28"/>
          <w:szCs w:val="28"/>
        </w:rPr>
        <w:t>GB 50318</w:t>
      </w:r>
    </w:p>
    <w:p>
      <w:pPr>
        <w:snapToGrid w:val="0"/>
        <w:spacing w:after="0" w:line="360" w:lineRule="auto"/>
        <w:contextualSpacing/>
        <w:rPr>
          <w:sz w:val="28"/>
          <w:szCs w:val="28"/>
        </w:rPr>
      </w:pPr>
      <w:r>
        <w:rPr>
          <w:sz w:val="28"/>
          <w:szCs w:val="28"/>
        </w:rPr>
        <w:t>5</w:t>
      </w:r>
      <w:r>
        <w:rPr>
          <w:rFonts w:hint="eastAsia"/>
          <w:sz w:val="28"/>
          <w:szCs w:val="28"/>
        </w:rPr>
        <w:t>《城市水系规划规范》</w:t>
      </w:r>
      <w:r>
        <w:rPr>
          <w:sz w:val="28"/>
          <w:szCs w:val="28"/>
        </w:rPr>
        <w:t>GB 50513</w:t>
      </w:r>
    </w:p>
    <w:p>
      <w:pPr>
        <w:snapToGrid w:val="0"/>
        <w:spacing w:after="0" w:line="360" w:lineRule="auto"/>
        <w:contextualSpacing/>
        <w:rPr>
          <w:sz w:val="28"/>
          <w:szCs w:val="28"/>
        </w:rPr>
      </w:pPr>
      <w:r>
        <w:rPr>
          <w:sz w:val="28"/>
          <w:szCs w:val="28"/>
        </w:rPr>
        <w:t>6</w:t>
      </w:r>
      <w:r>
        <w:rPr>
          <w:rFonts w:hint="eastAsia"/>
          <w:sz w:val="28"/>
          <w:szCs w:val="28"/>
        </w:rPr>
        <w:t>《城市排水防涝设施数据采集与维护技术规范》</w:t>
      </w:r>
      <w:r>
        <w:rPr>
          <w:sz w:val="28"/>
          <w:szCs w:val="28"/>
        </w:rPr>
        <w:t>GB/T 51187</w:t>
      </w:r>
    </w:p>
    <w:p>
      <w:pPr>
        <w:snapToGrid w:val="0"/>
        <w:spacing w:after="0" w:line="360" w:lineRule="auto"/>
        <w:contextualSpacing/>
        <w:rPr>
          <w:sz w:val="28"/>
          <w:szCs w:val="28"/>
        </w:rPr>
      </w:pPr>
      <w:r>
        <w:rPr>
          <w:sz w:val="28"/>
          <w:szCs w:val="28"/>
        </w:rPr>
        <w:t>7</w:t>
      </w:r>
      <w:r>
        <w:rPr>
          <w:rFonts w:hint="eastAsia"/>
          <w:sz w:val="28"/>
          <w:szCs w:val="28"/>
        </w:rPr>
        <w:t>《城市污水水质检验方法标准》</w:t>
      </w:r>
      <w:r>
        <w:rPr>
          <w:sz w:val="28"/>
          <w:szCs w:val="28"/>
        </w:rPr>
        <w:t>CJT 51</w:t>
      </w:r>
    </w:p>
    <w:p>
      <w:pPr>
        <w:snapToGrid w:val="0"/>
        <w:spacing w:after="0" w:line="360" w:lineRule="auto"/>
        <w:contextualSpacing/>
        <w:rPr>
          <w:sz w:val="28"/>
          <w:szCs w:val="28"/>
        </w:rPr>
      </w:pPr>
      <w:r>
        <w:rPr>
          <w:sz w:val="28"/>
          <w:szCs w:val="28"/>
        </w:rPr>
        <w:t>8</w:t>
      </w:r>
      <w:r>
        <w:rPr>
          <w:rFonts w:hint="eastAsia"/>
          <w:sz w:val="28"/>
          <w:szCs w:val="28"/>
        </w:rPr>
        <w:t>《地表水和污水监测技术规范》</w:t>
      </w:r>
      <w:r>
        <w:rPr>
          <w:sz w:val="28"/>
          <w:szCs w:val="28"/>
        </w:rPr>
        <w:t>HJ/T 91</w:t>
      </w:r>
    </w:p>
    <w:p>
      <w:pPr>
        <w:snapToGrid w:val="0"/>
        <w:spacing w:after="0" w:line="360" w:lineRule="auto"/>
        <w:contextualSpacing/>
        <w:rPr>
          <w:sz w:val="28"/>
          <w:szCs w:val="28"/>
        </w:rPr>
      </w:pPr>
      <w:r>
        <w:rPr>
          <w:sz w:val="28"/>
          <w:szCs w:val="28"/>
        </w:rPr>
        <w:t>9</w:t>
      </w:r>
      <w:r>
        <w:rPr>
          <w:rFonts w:hint="eastAsia"/>
          <w:sz w:val="28"/>
          <w:szCs w:val="28"/>
        </w:rPr>
        <w:t>《水质采样方案设计技术规定》（</w:t>
      </w:r>
      <w:r>
        <w:rPr>
          <w:sz w:val="28"/>
          <w:szCs w:val="28"/>
        </w:rPr>
        <w:t>HJ 495</w:t>
      </w:r>
      <w:r>
        <w:rPr>
          <w:rFonts w:hint="eastAsia"/>
          <w:sz w:val="28"/>
          <w:szCs w:val="28"/>
        </w:rPr>
        <w:t>）</w:t>
      </w:r>
    </w:p>
    <w:p>
      <w:pPr>
        <w:snapToGrid w:val="0"/>
        <w:spacing w:after="0" w:line="360" w:lineRule="auto"/>
        <w:contextualSpacing/>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5"/>
      <w:numFmt w:val="decimal"/>
      <w:lvlText w:val="%1."/>
      <w:lvlJc w:val="left"/>
      <w:pPr>
        <w:ind w:left="420" w:hanging="420"/>
      </w:pPr>
      <w:rPr>
        <w:rFonts w:hint="default"/>
      </w:rPr>
    </w:lvl>
    <w:lvl w:ilvl="1" w:tentative="0">
      <w:start w:val="1"/>
      <w:numFmt w:val="decimal"/>
      <w:pStyle w:val="3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ascii="Times New Roman" w:hAnsi="Times New Roman" w:cs="Times New Roman"/>
        <w:b w:val="0"/>
        <w:bCs w:val="0"/>
        <w:i w:val="0"/>
        <w:iCs w:val="0"/>
        <w:caps w:val="0"/>
        <w:smallCaps w:val="0"/>
        <w:snapToGrid w:val="0"/>
        <w:vanish w:val="0"/>
        <w:color w:val="000000"/>
        <w:spacing w:val="0"/>
        <w:w w:val="0"/>
        <w:kern w:val="0"/>
        <w:position w:val="0"/>
        <w:szCs w:val="0"/>
        <w:u w:val="none"/>
        <w:vertAlign w:val="baseline"/>
      </w:rPr>
    </w:lvl>
    <w:lvl w:ilvl="3" w:tentative="0">
      <w:start w:val="1"/>
      <w:numFmt w:val="decimal"/>
      <w:lvlText w:val="%1.%2.%3.%4"/>
      <w:lvlJc w:val="left"/>
      <w:pPr>
        <w:tabs>
          <w:tab w:val="left" w:pos="0"/>
        </w:tabs>
        <w:ind w:left="0" w:firstLine="0"/>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4E2"/>
    <w:rsid w:val="000004CF"/>
    <w:rsid w:val="000011C7"/>
    <w:rsid w:val="0000255F"/>
    <w:rsid w:val="000045CF"/>
    <w:rsid w:val="0000608A"/>
    <w:rsid w:val="00012764"/>
    <w:rsid w:val="00014816"/>
    <w:rsid w:val="00014D1A"/>
    <w:rsid w:val="0001566E"/>
    <w:rsid w:val="00017228"/>
    <w:rsid w:val="000206C9"/>
    <w:rsid w:val="0002270D"/>
    <w:rsid w:val="00032460"/>
    <w:rsid w:val="00034542"/>
    <w:rsid w:val="0004009A"/>
    <w:rsid w:val="00041877"/>
    <w:rsid w:val="00043EDD"/>
    <w:rsid w:val="00045E82"/>
    <w:rsid w:val="00046A8C"/>
    <w:rsid w:val="00051E6A"/>
    <w:rsid w:val="00054784"/>
    <w:rsid w:val="00057C21"/>
    <w:rsid w:val="000601EA"/>
    <w:rsid w:val="00060448"/>
    <w:rsid w:val="0006047D"/>
    <w:rsid w:val="00060659"/>
    <w:rsid w:val="000611C1"/>
    <w:rsid w:val="00061317"/>
    <w:rsid w:val="00062B9A"/>
    <w:rsid w:val="000656CC"/>
    <w:rsid w:val="0006585B"/>
    <w:rsid w:val="0007058C"/>
    <w:rsid w:val="0007110B"/>
    <w:rsid w:val="00072EFE"/>
    <w:rsid w:val="00074028"/>
    <w:rsid w:val="00076BAE"/>
    <w:rsid w:val="00080A23"/>
    <w:rsid w:val="00080DF5"/>
    <w:rsid w:val="00085349"/>
    <w:rsid w:val="0009565E"/>
    <w:rsid w:val="000964DB"/>
    <w:rsid w:val="000A14C0"/>
    <w:rsid w:val="000A223C"/>
    <w:rsid w:val="000A42CF"/>
    <w:rsid w:val="000A5A30"/>
    <w:rsid w:val="000A6D9B"/>
    <w:rsid w:val="000B3138"/>
    <w:rsid w:val="000B5C06"/>
    <w:rsid w:val="000B6038"/>
    <w:rsid w:val="000C0040"/>
    <w:rsid w:val="000C160B"/>
    <w:rsid w:val="000C326C"/>
    <w:rsid w:val="000C4336"/>
    <w:rsid w:val="000C48AC"/>
    <w:rsid w:val="000C4D8D"/>
    <w:rsid w:val="000C76E9"/>
    <w:rsid w:val="000D08C5"/>
    <w:rsid w:val="000D1FA3"/>
    <w:rsid w:val="000D4408"/>
    <w:rsid w:val="000D4C44"/>
    <w:rsid w:val="000D50A4"/>
    <w:rsid w:val="000E0C68"/>
    <w:rsid w:val="000E240D"/>
    <w:rsid w:val="000E266C"/>
    <w:rsid w:val="000E2AA5"/>
    <w:rsid w:val="000E33A1"/>
    <w:rsid w:val="000E414F"/>
    <w:rsid w:val="000F0DCB"/>
    <w:rsid w:val="000F22B3"/>
    <w:rsid w:val="000F2950"/>
    <w:rsid w:val="000F2AD6"/>
    <w:rsid w:val="001002EA"/>
    <w:rsid w:val="00101008"/>
    <w:rsid w:val="00101778"/>
    <w:rsid w:val="001021C6"/>
    <w:rsid w:val="00102672"/>
    <w:rsid w:val="001050E7"/>
    <w:rsid w:val="00105A82"/>
    <w:rsid w:val="00105FBF"/>
    <w:rsid w:val="00111E11"/>
    <w:rsid w:val="001150B0"/>
    <w:rsid w:val="001162A6"/>
    <w:rsid w:val="0011707B"/>
    <w:rsid w:val="00121E3E"/>
    <w:rsid w:val="00124FF2"/>
    <w:rsid w:val="00127B1C"/>
    <w:rsid w:val="001331FF"/>
    <w:rsid w:val="001333BB"/>
    <w:rsid w:val="0013403A"/>
    <w:rsid w:val="001363E0"/>
    <w:rsid w:val="0014134D"/>
    <w:rsid w:val="001418F2"/>
    <w:rsid w:val="0014194D"/>
    <w:rsid w:val="00144204"/>
    <w:rsid w:val="00145D14"/>
    <w:rsid w:val="00154688"/>
    <w:rsid w:val="00154B30"/>
    <w:rsid w:val="0015583E"/>
    <w:rsid w:val="001601CA"/>
    <w:rsid w:val="00162E93"/>
    <w:rsid w:val="00164080"/>
    <w:rsid w:val="001651F8"/>
    <w:rsid w:val="00170695"/>
    <w:rsid w:val="001713DD"/>
    <w:rsid w:val="00171D79"/>
    <w:rsid w:val="00172942"/>
    <w:rsid w:val="00174D89"/>
    <w:rsid w:val="00176D42"/>
    <w:rsid w:val="00177735"/>
    <w:rsid w:val="0018058B"/>
    <w:rsid w:val="00180D8A"/>
    <w:rsid w:val="00181472"/>
    <w:rsid w:val="00181AC2"/>
    <w:rsid w:val="00184B0E"/>
    <w:rsid w:val="00185772"/>
    <w:rsid w:val="00186736"/>
    <w:rsid w:val="00186B23"/>
    <w:rsid w:val="001873A8"/>
    <w:rsid w:val="00187B07"/>
    <w:rsid w:val="00187E84"/>
    <w:rsid w:val="00187FE1"/>
    <w:rsid w:val="001913B7"/>
    <w:rsid w:val="00193718"/>
    <w:rsid w:val="00193863"/>
    <w:rsid w:val="00197226"/>
    <w:rsid w:val="001A1146"/>
    <w:rsid w:val="001A439F"/>
    <w:rsid w:val="001A5EF1"/>
    <w:rsid w:val="001B5221"/>
    <w:rsid w:val="001C173B"/>
    <w:rsid w:val="001C1A8E"/>
    <w:rsid w:val="001C4212"/>
    <w:rsid w:val="001C6884"/>
    <w:rsid w:val="001C7CE0"/>
    <w:rsid w:val="001D0248"/>
    <w:rsid w:val="001D0D1A"/>
    <w:rsid w:val="001D1712"/>
    <w:rsid w:val="001D31A4"/>
    <w:rsid w:val="001E13EB"/>
    <w:rsid w:val="001E220D"/>
    <w:rsid w:val="001E2464"/>
    <w:rsid w:val="001E2D28"/>
    <w:rsid w:val="001E311A"/>
    <w:rsid w:val="001E4D29"/>
    <w:rsid w:val="001F1290"/>
    <w:rsid w:val="001F1F34"/>
    <w:rsid w:val="001F224F"/>
    <w:rsid w:val="001F3789"/>
    <w:rsid w:val="001F3C65"/>
    <w:rsid w:val="001F50E2"/>
    <w:rsid w:val="001F587A"/>
    <w:rsid w:val="002002D9"/>
    <w:rsid w:val="00200D79"/>
    <w:rsid w:val="00205A69"/>
    <w:rsid w:val="00210602"/>
    <w:rsid w:val="00210CBE"/>
    <w:rsid w:val="0021202D"/>
    <w:rsid w:val="00215356"/>
    <w:rsid w:val="00217664"/>
    <w:rsid w:val="0022570D"/>
    <w:rsid w:val="00232A54"/>
    <w:rsid w:val="00233282"/>
    <w:rsid w:val="0023586D"/>
    <w:rsid w:val="00235ED4"/>
    <w:rsid w:val="0023655D"/>
    <w:rsid w:val="00240EC6"/>
    <w:rsid w:val="00242C43"/>
    <w:rsid w:val="0024312E"/>
    <w:rsid w:val="002435C0"/>
    <w:rsid w:val="00243632"/>
    <w:rsid w:val="00245522"/>
    <w:rsid w:val="0024589B"/>
    <w:rsid w:val="00246D9D"/>
    <w:rsid w:val="0024783B"/>
    <w:rsid w:val="00247950"/>
    <w:rsid w:val="0025027C"/>
    <w:rsid w:val="00252D40"/>
    <w:rsid w:val="00253CA8"/>
    <w:rsid w:val="00253F44"/>
    <w:rsid w:val="002604E7"/>
    <w:rsid w:val="00260839"/>
    <w:rsid w:val="00261126"/>
    <w:rsid w:val="00261A9C"/>
    <w:rsid w:val="0026326B"/>
    <w:rsid w:val="00263A90"/>
    <w:rsid w:val="00265FE0"/>
    <w:rsid w:val="002663D9"/>
    <w:rsid w:val="002678A8"/>
    <w:rsid w:val="00267A3A"/>
    <w:rsid w:val="00267D2B"/>
    <w:rsid w:val="00270BD4"/>
    <w:rsid w:val="00280934"/>
    <w:rsid w:val="00281255"/>
    <w:rsid w:val="002830C1"/>
    <w:rsid w:val="002855C8"/>
    <w:rsid w:val="00285BB1"/>
    <w:rsid w:val="002875E2"/>
    <w:rsid w:val="00290A5E"/>
    <w:rsid w:val="00291661"/>
    <w:rsid w:val="00293640"/>
    <w:rsid w:val="0029383C"/>
    <w:rsid w:val="002939FD"/>
    <w:rsid w:val="00294705"/>
    <w:rsid w:val="00295491"/>
    <w:rsid w:val="0029552B"/>
    <w:rsid w:val="002A2EFF"/>
    <w:rsid w:val="002A55C4"/>
    <w:rsid w:val="002B6953"/>
    <w:rsid w:val="002B79D5"/>
    <w:rsid w:val="002C00E1"/>
    <w:rsid w:val="002C0ED2"/>
    <w:rsid w:val="002C189F"/>
    <w:rsid w:val="002C1CA3"/>
    <w:rsid w:val="002C2D4D"/>
    <w:rsid w:val="002C4C35"/>
    <w:rsid w:val="002C5E46"/>
    <w:rsid w:val="002C5FF7"/>
    <w:rsid w:val="002D0007"/>
    <w:rsid w:val="002D2E5F"/>
    <w:rsid w:val="002D3859"/>
    <w:rsid w:val="002D6A69"/>
    <w:rsid w:val="002E0775"/>
    <w:rsid w:val="002E1D8E"/>
    <w:rsid w:val="002E1FD4"/>
    <w:rsid w:val="002E520A"/>
    <w:rsid w:val="002E641E"/>
    <w:rsid w:val="002E74BD"/>
    <w:rsid w:val="002F4291"/>
    <w:rsid w:val="002F53F7"/>
    <w:rsid w:val="00302F0D"/>
    <w:rsid w:val="0030488A"/>
    <w:rsid w:val="00304DC3"/>
    <w:rsid w:val="00306762"/>
    <w:rsid w:val="00312935"/>
    <w:rsid w:val="003152FD"/>
    <w:rsid w:val="003176E9"/>
    <w:rsid w:val="00320E85"/>
    <w:rsid w:val="00323299"/>
    <w:rsid w:val="00326698"/>
    <w:rsid w:val="0033426C"/>
    <w:rsid w:val="0033722C"/>
    <w:rsid w:val="003401D9"/>
    <w:rsid w:val="00344CCA"/>
    <w:rsid w:val="00346022"/>
    <w:rsid w:val="00347D82"/>
    <w:rsid w:val="00350DDC"/>
    <w:rsid w:val="00351E01"/>
    <w:rsid w:val="00352FD5"/>
    <w:rsid w:val="00355615"/>
    <w:rsid w:val="0035750F"/>
    <w:rsid w:val="0036225E"/>
    <w:rsid w:val="00362A80"/>
    <w:rsid w:val="00363571"/>
    <w:rsid w:val="00363ADC"/>
    <w:rsid w:val="0036505A"/>
    <w:rsid w:val="00365BDF"/>
    <w:rsid w:val="00367CFB"/>
    <w:rsid w:val="0037191C"/>
    <w:rsid w:val="003730D1"/>
    <w:rsid w:val="00373F3A"/>
    <w:rsid w:val="00374A33"/>
    <w:rsid w:val="00376412"/>
    <w:rsid w:val="00384C18"/>
    <w:rsid w:val="00385E93"/>
    <w:rsid w:val="003870B6"/>
    <w:rsid w:val="00393866"/>
    <w:rsid w:val="0039604E"/>
    <w:rsid w:val="003A2A96"/>
    <w:rsid w:val="003A4F5E"/>
    <w:rsid w:val="003A6A9B"/>
    <w:rsid w:val="003B0060"/>
    <w:rsid w:val="003B0E2A"/>
    <w:rsid w:val="003B1798"/>
    <w:rsid w:val="003B2495"/>
    <w:rsid w:val="003B6DD6"/>
    <w:rsid w:val="003B7A6B"/>
    <w:rsid w:val="003C0011"/>
    <w:rsid w:val="003C2455"/>
    <w:rsid w:val="003C48FB"/>
    <w:rsid w:val="003D00C4"/>
    <w:rsid w:val="003D092B"/>
    <w:rsid w:val="003D1F58"/>
    <w:rsid w:val="003D369F"/>
    <w:rsid w:val="003D3A6E"/>
    <w:rsid w:val="003D4FDF"/>
    <w:rsid w:val="003D50B8"/>
    <w:rsid w:val="003D52B2"/>
    <w:rsid w:val="003D6473"/>
    <w:rsid w:val="003E0349"/>
    <w:rsid w:val="003E09B5"/>
    <w:rsid w:val="003E0DBF"/>
    <w:rsid w:val="003E6415"/>
    <w:rsid w:val="003E7738"/>
    <w:rsid w:val="003F06D5"/>
    <w:rsid w:val="003F2225"/>
    <w:rsid w:val="003F4AD7"/>
    <w:rsid w:val="003F5912"/>
    <w:rsid w:val="004027BF"/>
    <w:rsid w:val="00403D4B"/>
    <w:rsid w:val="00404E81"/>
    <w:rsid w:val="00405C63"/>
    <w:rsid w:val="0040731D"/>
    <w:rsid w:val="00410A1F"/>
    <w:rsid w:val="00412A5F"/>
    <w:rsid w:val="00413817"/>
    <w:rsid w:val="00413F8F"/>
    <w:rsid w:val="00416833"/>
    <w:rsid w:val="00421782"/>
    <w:rsid w:val="004222BE"/>
    <w:rsid w:val="004246A3"/>
    <w:rsid w:val="004264EB"/>
    <w:rsid w:val="00431C96"/>
    <w:rsid w:val="0043274E"/>
    <w:rsid w:val="0043411F"/>
    <w:rsid w:val="00440AA8"/>
    <w:rsid w:val="00444A28"/>
    <w:rsid w:val="00444C07"/>
    <w:rsid w:val="0044674C"/>
    <w:rsid w:val="00447355"/>
    <w:rsid w:val="0045205C"/>
    <w:rsid w:val="00452137"/>
    <w:rsid w:val="00454B1D"/>
    <w:rsid w:val="00457A15"/>
    <w:rsid w:val="00462274"/>
    <w:rsid w:val="0046311F"/>
    <w:rsid w:val="004633A7"/>
    <w:rsid w:val="004644A7"/>
    <w:rsid w:val="004652F0"/>
    <w:rsid w:val="00465A35"/>
    <w:rsid w:val="004724D3"/>
    <w:rsid w:val="00476A83"/>
    <w:rsid w:val="004771AA"/>
    <w:rsid w:val="004801F4"/>
    <w:rsid w:val="004873AF"/>
    <w:rsid w:val="00487859"/>
    <w:rsid w:val="00491685"/>
    <w:rsid w:val="00491D22"/>
    <w:rsid w:val="0049248A"/>
    <w:rsid w:val="00492EB4"/>
    <w:rsid w:val="00493924"/>
    <w:rsid w:val="00494AB6"/>
    <w:rsid w:val="00495450"/>
    <w:rsid w:val="004976B3"/>
    <w:rsid w:val="0049791B"/>
    <w:rsid w:val="00497BE1"/>
    <w:rsid w:val="004A3C8D"/>
    <w:rsid w:val="004A4BB6"/>
    <w:rsid w:val="004B1D5B"/>
    <w:rsid w:val="004B1DAE"/>
    <w:rsid w:val="004B1FEC"/>
    <w:rsid w:val="004C275F"/>
    <w:rsid w:val="004D6FD1"/>
    <w:rsid w:val="004D7712"/>
    <w:rsid w:val="004D79E9"/>
    <w:rsid w:val="004E12E8"/>
    <w:rsid w:val="004E44C9"/>
    <w:rsid w:val="004E4690"/>
    <w:rsid w:val="004F0502"/>
    <w:rsid w:val="004F2A90"/>
    <w:rsid w:val="004F39C4"/>
    <w:rsid w:val="004F531F"/>
    <w:rsid w:val="004F669B"/>
    <w:rsid w:val="005005CD"/>
    <w:rsid w:val="00502ACD"/>
    <w:rsid w:val="00503F96"/>
    <w:rsid w:val="005047A0"/>
    <w:rsid w:val="005050D4"/>
    <w:rsid w:val="00505687"/>
    <w:rsid w:val="005056B6"/>
    <w:rsid w:val="005072E9"/>
    <w:rsid w:val="0051087D"/>
    <w:rsid w:val="00510933"/>
    <w:rsid w:val="00512FFC"/>
    <w:rsid w:val="0051531C"/>
    <w:rsid w:val="00515706"/>
    <w:rsid w:val="00515A90"/>
    <w:rsid w:val="0051643B"/>
    <w:rsid w:val="00517190"/>
    <w:rsid w:val="005232EA"/>
    <w:rsid w:val="00524323"/>
    <w:rsid w:val="00530ABC"/>
    <w:rsid w:val="00535A14"/>
    <w:rsid w:val="00536451"/>
    <w:rsid w:val="00541BA6"/>
    <w:rsid w:val="00542A69"/>
    <w:rsid w:val="005443A6"/>
    <w:rsid w:val="00546C3D"/>
    <w:rsid w:val="00547179"/>
    <w:rsid w:val="00547F9C"/>
    <w:rsid w:val="00550A21"/>
    <w:rsid w:val="0055107F"/>
    <w:rsid w:val="005511C2"/>
    <w:rsid w:val="00551F82"/>
    <w:rsid w:val="00551F9D"/>
    <w:rsid w:val="00552904"/>
    <w:rsid w:val="005539A8"/>
    <w:rsid w:val="00553EBA"/>
    <w:rsid w:val="0055578D"/>
    <w:rsid w:val="00555E81"/>
    <w:rsid w:val="005603A7"/>
    <w:rsid w:val="00560D3F"/>
    <w:rsid w:val="005613BE"/>
    <w:rsid w:val="005621A6"/>
    <w:rsid w:val="00562719"/>
    <w:rsid w:val="00563C3B"/>
    <w:rsid w:val="005668E2"/>
    <w:rsid w:val="00566A04"/>
    <w:rsid w:val="00566EE4"/>
    <w:rsid w:val="00574BF9"/>
    <w:rsid w:val="00575462"/>
    <w:rsid w:val="0057712D"/>
    <w:rsid w:val="00577DF0"/>
    <w:rsid w:val="00580764"/>
    <w:rsid w:val="00586DC0"/>
    <w:rsid w:val="00586EA8"/>
    <w:rsid w:val="00591A48"/>
    <w:rsid w:val="00594135"/>
    <w:rsid w:val="005947EF"/>
    <w:rsid w:val="0059485C"/>
    <w:rsid w:val="005A26B3"/>
    <w:rsid w:val="005A2B30"/>
    <w:rsid w:val="005A4728"/>
    <w:rsid w:val="005A6312"/>
    <w:rsid w:val="005B3444"/>
    <w:rsid w:val="005B42BA"/>
    <w:rsid w:val="005C2BEE"/>
    <w:rsid w:val="005D0350"/>
    <w:rsid w:val="005D19C2"/>
    <w:rsid w:val="005D2430"/>
    <w:rsid w:val="005D2E23"/>
    <w:rsid w:val="005D3E50"/>
    <w:rsid w:val="005D4D48"/>
    <w:rsid w:val="005D4E01"/>
    <w:rsid w:val="005D55C0"/>
    <w:rsid w:val="005D6DF6"/>
    <w:rsid w:val="005E140E"/>
    <w:rsid w:val="005E4563"/>
    <w:rsid w:val="005E6BED"/>
    <w:rsid w:val="005E6E8B"/>
    <w:rsid w:val="005E6E9F"/>
    <w:rsid w:val="005F1095"/>
    <w:rsid w:val="005F3723"/>
    <w:rsid w:val="005F5073"/>
    <w:rsid w:val="005F529C"/>
    <w:rsid w:val="005F57B8"/>
    <w:rsid w:val="005F5D74"/>
    <w:rsid w:val="00602B7E"/>
    <w:rsid w:val="00604884"/>
    <w:rsid w:val="006054F1"/>
    <w:rsid w:val="006065AD"/>
    <w:rsid w:val="00610036"/>
    <w:rsid w:val="00610578"/>
    <w:rsid w:val="006118BC"/>
    <w:rsid w:val="006179C9"/>
    <w:rsid w:val="00622F54"/>
    <w:rsid w:val="0062330F"/>
    <w:rsid w:val="0062423C"/>
    <w:rsid w:val="00626826"/>
    <w:rsid w:val="00627B1F"/>
    <w:rsid w:val="006307C0"/>
    <w:rsid w:val="0063198D"/>
    <w:rsid w:val="00632DFD"/>
    <w:rsid w:val="00632EE1"/>
    <w:rsid w:val="0063304D"/>
    <w:rsid w:val="00633392"/>
    <w:rsid w:val="0063750A"/>
    <w:rsid w:val="0064210F"/>
    <w:rsid w:val="00644138"/>
    <w:rsid w:val="0064447D"/>
    <w:rsid w:val="00646AF3"/>
    <w:rsid w:val="00646C3C"/>
    <w:rsid w:val="006471F3"/>
    <w:rsid w:val="006519BA"/>
    <w:rsid w:val="006533D1"/>
    <w:rsid w:val="00653B29"/>
    <w:rsid w:val="00654A69"/>
    <w:rsid w:val="0065501A"/>
    <w:rsid w:val="006614BF"/>
    <w:rsid w:val="0066231E"/>
    <w:rsid w:val="00662ED0"/>
    <w:rsid w:val="00664216"/>
    <w:rsid w:val="00664567"/>
    <w:rsid w:val="006656DD"/>
    <w:rsid w:val="006678EF"/>
    <w:rsid w:val="0067423A"/>
    <w:rsid w:val="00674B72"/>
    <w:rsid w:val="0067516F"/>
    <w:rsid w:val="0068123B"/>
    <w:rsid w:val="00681605"/>
    <w:rsid w:val="00682855"/>
    <w:rsid w:val="00682F6E"/>
    <w:rsid w:val="0068343C"/>
    <w:rsid w:val="006853A5"/>
    <w:rsid w:val="006853F6"/>
    <w:rsid w:val="0068676E"/>
    <w:rsid w:val="00690761"/>
    <w:rsid w:val="00690DAE"/>
    <w:rsid w:val="00693EF7"/>
    <w:rsid w:val="00695F1D"/>
    <w:rsid w:val="006A57BA"/>
    <w:rsid w:val="006A6213"/>
    <w:rsid w:val="006A79FB"/>
    <w:rsid w:val="006A7D8E"/>
    <w:rsid w:val="006B3116"/>
    <w:rsid w:val="006B4376"/>
    <w:rsid w:val="006B584F"/>
    <w:rsid w:val="006B684B"/>
    <w:rsid w:val="006C26AD"/>
    <w:rsid w:val="006C43CB"/>
    <w:rsid w:val="006C4BF1"/>
    <w:rsid w:val="006C5ACF"/>
    <w:rsid w:val="006D1B4F"/>
    <w:rsid w:val="006D1FB6"/>
    <w:rsid w:val="006D30F4"/>
    <w:rsid w:val="006D6AC7"/>
    <w:rsid w:val="006E0AAC"/>
    <w:rsid w:val="006E2833"/>
    <w:rsid w:val="006E2A06"/>
    <w:rsid w:val="006E550B"/>
    <w:rsid w:val="006E6139"/>
    <w:rsid w:val="006E7625"/>
    <w:rsid w:val="006F164B"/>
    <w:rsid w:val="006F17AD"/>
    <w:rsid w:val="006F231B"/>
    <w:rsid w:val="006F2E89"/>
    <w:rsid w:val="006F5EB8"/>
    <w:rsid w:val="006F6084"/>
    <w:rsid w:val="00700BF9"/>
    <w:rsid w:val="0070386E"/>
    <w:rsid w:val="00711212"/>
    <w:rsid w:val="00713272"/>
    <w:rsid w:val="007134FE"/>
    <w:rsid w:val="007139BA"/>
    <w:rsid w:val="00714E2A"/>
    <w:rsid w:val="00715D47"/>
    <w:rsid w:val="007174B2"/>
    <w:rsid w:val="00717938"/>
    <w:rsid w:val="00720529"/>
    <w:rsid w:val="0072236B"/>
    <w:rsid w:val="00723173"/>
    <w:rsid w:val="00725AD3"/>
    <w:rsid w:val="00725D58"/>
    <w:rsid w:val="00727198"/>
    <w:rsid w:val="00735BC3"/>
    <w:rsid w:val="00736AC4"/>
    <w:rsid w:val="00741957"/>
    <w:rsid w:val="007429EC"/>
    <w:rsid w:val="00751F89"/>
    <w:rsid w:val="00755C84"/>
    <w:rsid w:val="00756B7B"/>
    <w:rsid w:val="00757691"/>
    <w:rsid w:val="00757B54"/>
    <w:rsid w:val="00760A8A"/>
    <w:rsid w:val="00760C83"/>
    <w:rsid w:val="00761987"/>
    <w:rsid w:val="00772198"/>
    <w:rsid w:val="00773365"/>
    <w:rsid w:val="00774356"/>
    <w:rsid w:val="007750C2"/>
    <w:rsid w:val="007758AF"/>
    <w:rsid w:val="00775E70"/>
    <w:rsid w:val="00780524"/>
    <w:rsid w:val="007861F6"/>
    <w:rsid w:val="00786877"/>
    <w:rsid w:val="007873DC"/>
    <w:rsid w:val="0079070F"/>
    <w:rsid w:val="0079078D"/>
    <w:rsid w:val="00791B13"/>
    <w:rsid w:val="00796730"/>
    <w:rsid w:val="007A0303"/>
    <w:rsid w:val="007A0E1F"/>
    <w:rsid w:val="007A3EF0"/>
    <w:rsid w:val="007A5433"/>
    <w:rsid w:val="007A566F"/>
    <w:rsid w:val="007A5AFA"/>
    <w:rsid w:val="007A699C"/>
    <w:rsid w:val="007A7037"/>
    <w:rsid w:val="007B184B"/>
    <w:rsid w:val="007B2030"/>
    <w:rsid w:val="007B5D97"/>
    <w:rsid w:val="007B70D2"/>
    <w:rsid w:val="007C06A0"/>
    <w:rsid w:val="007C0D3D"/>
    <w:rsid w:val="007C1626"/>
    <w:rsid w:val="007C1F32"/>
    <w:rsid w:val="007D39A7"/>
    <w:rsid w:val="007D3BC5"/>
    <w:rsid w:val="007E2707"/>
    <w:rsid w:val="007E2CD7"/>
    <w:rsid w:val="007E2F15"/>
    <w:rsid w:val="007E5C4F"/>
    <w:rsid w:val="007F0B87"/>
    <w:rsid w:val="007F166B"/>
    <w:rsid w:val="007F199B"/>
    <w:rsid w:val="007F2688"/>
    <w:rsid w:val="007F29E1"/>
    <w:rsid w:val="007F5EBE"/>
    <w:rsid w:val="007F7975"/>
    <w:rsid w:val="0080117A"/>
    <w:rsid w:val="008042F6"/>
    <w:rsid w:val="008055DB"/>
    <w:rsid w:val="00806811"/>
    <w:rsid w:val="00806C8A"/>
    <w:rsid w:val="008104CA"/>
    <w:rsid w:val="00815525"/>
    <w:rsid w:val="00816020"/>
    <w:rsid w:val="00821321"/>
    <w:rsid w:val="008274C7"/>
    <w:rsid w:val="0083112B"/>
    <w:rsid w:val="0083244B"/>
    <w:rsid w:val="00832E3B"/>
    <w:rsid w:val="00832EA1"/>
    <w:rsid w:val="00834B9F"/>
    <w:rsid w:val="00835791"/>
    <w:rsid w:val="00835C01"/>
    <w:rsid w:val="00836140"/>
    <w:rsid w:val="00840302"/>
    <w:rsid w:val="0084045E"/>
    <w:rsid w:val="00840FC0"/>
    <w:rsid w:val="0084101E"/>
    <w:rsid w:val="008433B8"/>
    <w:rsid w:val="00843D20"/>
    <w:rsid w:val="00843DB9"/>
    <w:rsid w:val="0084413D"/>
    <w:rsid w:val="00845E7B"/>
    <w:rsid w:val="00846C5B"/>
    <w:rsid w:val="008478DC"/>
    <w:rsid w:val="00850E0B"/>
    <w:rsid w:val="008521BB"/>
    <w:rsid w:val="00852E0D"/>
    <w:rsid w:val="00852F90"/>
    <w:rsid w:val="00854C3E"/>
    <w:rsid w:val="008607FB"/>
    <w:rsid w:val="00860EC9"/>
    <w:rsid w:val="00862681"/>
    <w:rsid w:val="00865B3C"/>
    <w:rsid w:val="008672D8"/>
    <w:rsid w:val="00867BFD"/>
    <w:rsid w:val="00870203"/>
    <w:rsid w:val="008710B1"/>
    <w:rsid w:val="008714BF"/>
    <w:rsid w:val="008738C7"/>
    <w:rsid w:val="00873E63"/>
    <w:rsid w:val="00874E97"/>
    <w:rsid w:val="00876960"/>
    <w:rsid w:val="00881510"/>
    <w:rsid w:val="00881F73"/>
    <w:rsid w:val="00882A86"/>
    <w:rsid w:val="00883C8B"/>
    <w:rsid w:val="00885243"/>
    <w:rsid w:val="00886A8F"/>
    <w:rsid w:val="00890139"/>
    <w:rsid w:val="0089061F"/>
    <w:rsid w:val="00890F9A"/>
    <w:rsid w:val="008917D7"/>
    <w:rsid w:val="008923E7"/>
    <w:rsid w:val="00892755"/>
    <w:rsid w:val="008930F5"/>
    <w:rsid w:val="00893C9C"/>
    <w:rsid w:val="008A3532"/>
    <w:rsid w:val="008A52AF"/>
    <w:rsid w:val="008A6DBE"/>
    <w:rsid w:val="008A7DF6"/>
    <w:rsid w:val="008B315C"/>
    <w:rsid w:val="008B4C94"/>
    <w:rsid w:val="008B5238"/>
    <w:rsid w:val="008B61AA"/>
    <w:rsid w:val="008B79C0"/>
    <w:rsid w:val="008B7F14"/>
    <w:rsid w:val="008C0385"/>
    <w:rsid w:val="008C120E"/>
    <w:rsid w:val="008C2401"/>
    <w:rsid w:val="008D1833"/>
    <w:rsid w:val="008D24DD"/>
    <w:rsid w:val="008D47D7"/>
    <w:rsid w:val="008D4F9C"/>
    <w:rsid w:val="008D6C17"/>
    <w:rsid w:val="008D7A96"/>
    <w:rsid w:val="008E02DA"/>
    <w:rsid w:val="008F0955"/>
    <w:rsid w:val="008F7538"/>
    <w:rsid w:val="008F7AC0"/>
    <w:rsid w:val="009018DF"/>
    <w:rsid w:val="009023DA"/>
    <w:rsid w:val="00903057"/>
    <w:rsid w:val="009057E0"/>
    <w:rsid w:val="009075EA"/>
    <w:rsid w:val="00911B96"/>
    <w:rsid w:val="0091254F"/>
    <w:rsid w:val="00913610"/>
    <w:rsid w:val="00914580"/>
    <w:rsid w:val="00915DAF"/>
    <w:rsid w:val="00917F8D"/>
    <w:rsid w:val="009206D2"/>
    <w:rsid w:val="00920DF0"/>
    <w:rsid w:val="00921229"/>
    <w:rsid w:val="00921720"/>
    <w:rsid w:val="00924D14"/>
    <w:rsid w:val="009313E7"/>
    <w:rsid w:val="009323E5"/>
    <w:rsid w:val="00933D3A"/>
    <w:rsid w:val="00936E11"/>
    <w:rsid w:val="00937A02"/>
    <w:rsid w:val="00945287"/>
    <w:rsid w:val="00945B9B"/>
    <w:rsid w:val="00950ADB"/>
    <w:rsid w:val="00951304"/>
    <w:rsid w:val="00960A42"/>
    <w:rsid w:val="00967CB5"/>
    <w:rsid w:val="00972BBD"/>
    <w:rsid w:val="00975B65"/>
    <w:rsid w:val="00976750"/>
    <w:rsid w:val="009776A1"/>
    <w:rsid w:val="00980031"/>
    <w:rsid w:val="00987476"/>
    <w:rsid w:val="00987537"/>
    <w:rsid w:val="0099062D"/>
    <w:rsid w:val="009960EA"/>
    <w:rsid w:val="00996F5A"/>
    <w:rsid w:val="009974FD"/>
    <w:rsid w:val="009A1105"/>
    <w:rsid w:val="009A1C14"/>
    <w:rsid w:val="009A326C"/>
    <w:rsid w:val="009A445D"/>
    <w:rsid w:val="009A71FE"/>
    <w:rsid w:val="009B3D7E"/>
    <w:rsid w:val="009B5168"/>
    <w:rsid w:val="009B60D5"/>
    <w:rsid w:val="009B6699"/>
    <w:rsid w:val="009B6EE6"/>
    <w:rsid w:val="009C1F5A"/>
    <w:rsid w:val="009C23A8"/>
    <w:rsid w:val="009C28E3"/>
    <w:rsid w:val="009C3A22"/>
    <w:rsid w:val="009C546E"/>
    <w:rsid w:val="009C56C5"/>
    <w:rsid w:val="009C6DD6"/>
    <w:rsid w:val="009D2223"/>
    <w:rsid w:val="009D3282"/>
    <w:rsid w:val="009D33BC"/>
    <w:rsid w:val="009E1165"/>
    <w:rsid w:val="009E17E9"/>
    <w:rsid w:val="009E274F"/>
    <w:rsid w:val="009E3981"/>
    <w:rsid w:val="009E3EC4"/>
    <w:rsid w:val="009E5EC1"/>
    <w:rsid w:val="009F30A6"/>
    <w:rsid w:val="009F3122"/>
    <w:rsid w:val="00A02919"/>
    <w:rsid w:val="00A02E91"/>
    <w:rsid w:val="00A03426"/>
    <w:rsid w:val="00A07359"/>
    <w:rsid w:val="00A12860"/>
    <w:rsid w:val="00A152B4"/>
    <w:rsid w:val="00A158E6"/>
    <w:rsid w:val="00A16AEA"/>
    <w:rsid w:val="00A21E3B"/>
    <w:rsid w:val="00A22BEB"/>
    <w:rsid w:val="00A232DE"/>
    <w:rsid w:val="00A250D3"/>
    <w:rsid w:val="00A333AE"/>
    <w:rsid w:val="00A334E2"/>
    <w:rsid w:val="00A338B0"/>
    <w:rsid w:val="00A35086"/>
    <w:rsid w:val="00A353FB"/>
    <w:rsid w:val="00A35743"/>
    <w:rsid w:val="00A40CB6"/>
    <w:rsid w:val="00A45E84"/>
    <w:rsid w:val="00A47B32"/>
    <w:rsid w:val="00A50A2F"/>
    <w:rsid w:val="00A51449"/>
    <w:rsid w:val="00A605B0"/>
    <w:rsid w:val="00A60BD6"/>
    <w:rsid w:val="00A61E6A"/>
    <w:rsid w:val="00A627B1"/>
    <w:rsid w:val="00A635DB"/>
    <w:rsid w:val="00A64004"/>
    <w:rsid w:val="00A663E4"/>
    <w:rsid w:val="00A71847"/>
    <w:rsid w:val="00A72BB6"/>
    <w:rsid w:val="00A769B2"/>
    <w:rsid w:val="00A76BE3"/>
    <w:rsid w:val="00A77A47"/>
    <w:rsid w:val="00A83477"/>
    <w:rsid w:val="00A849E8"/>
    <w:rsid w:val="00A84EA3"/>
    <w:rsid w:val="00A8536D"/>
    <w:rsid w:val="00A8670A"/>
    <w:rsid w:val="00A903F4"/>
    <w:rsid w:val="00A9121A"/>
    <w:rsid w:val="00A915CD"/>
    <w:rsid w:val="00A94723"/>
    <w:rsid w:val="00A94E3E"/>
    <w:rsid w:val="00A96211"/>
    <w:rsid w:val="00A9641C"/>
    <w:rsid w:val="00A97249"/>
    <w:rsid w:val="00AA0712"/>
    <w:rsid w:val="00AA1507"/>
    <w:rsid w:val="00AA5106"/>
    <w:rsid w:val="00AA5EB7"/>
    <w:rsid w:val="00AA6D16"/>
    <w:rsid w:val="00AA7AAF"/>
    <w:rsid w:val="00AB030C"/>
    <w:rsid w:val="00AB095F"/>
    <w:rsid w:val="00AB2787"/>
    <w:rsid w:val="00AB3364"/>
    <w:rsid w:val="00AB71E7"/>
    <w:rsid w:val="00AB7EDA"/>
    <w:rsid w:val="00AC1DD6"/>
    <w:rsid w:val="00AC33C5"/>
    <w:rsid w:val="00AC3B3A"/>
    <w:rsid w:val="00AD0177"/>
    <w:rsid w:val="00AD0AB2"/>
    <w:rsid w:val="00AD0AE3"/>
    <w:rsid w:val="00AD12C0"/>
    <w:rsid w:val="00AD213C"/>
    <w:rsid w:val="00AD224D"/>
    <w:rsid w:val="00AD272B"/>
    <w:rsid w:val="00AD3C6C"/>
    <w:rsid w:val="00AD4304"/>
    <w:rsid w:val="00AD4D48"/>
    <w:rsid w:val="00AD7598"/>
    <w:rsid w:val="00AE4D77"/>
    <w:rsid w:val="00AE59D4"/>
    <w:rsid w:val="00AF09E8"/>
    <w:rsid w:val="00AF37E7"/>
    <w:rsid w:val="00AF4F40"/>
    <w:rsid w:val="00AF5ED5"/>
    <w:rsid w:val="00AF6201"/>
    <w:rsid w:val="00AF6BCA"/>
    <w:rsid w:val="00AF6BE3"/>
    <w:rsid w:val="00B03D06"/>
    <w:rsid w:val="00B043B2"/>
    <w:rsid w:val="00B16BB4"/>
    <w:rsid w:val="00B20EFC"/>
    <w:rsid w:val="00B26154"/>
    <w:rsid w:val="00B30019"/>
    <w:rsid w:val="00B31D83"/>
    <w:rsid w:val="00B33726"/>
    <w:rsid w:val="00B3578A"/>
    <w:rsid w:val="00B35AAB"/>
    <w:rsid w:val="00B36E34"/>
    <w:rsid w:val="00B411A8"/>
    <w:rsid w:val="00B4298A"/>
    <w:rsid w:val="00B4351B"/>
    <w:rsid w:val="00B47D94"/>
    <w:rsid w:val="00B5524F"/>
    <w:rsid w:val="00B567A3"/>
    <w:rsid w:val="00B57702"/>
    <w:rsid w:val="00B6235B"/>
    <w:rsid w:val="00B662C3"/>
    <w:rsid w:val="00B67592"/>
    <w:rsid w:val="00B71F3A"/>
    <w:rsid w:val="00B73E54"/>
    <w:rsid w:val="00B7655B"/>
    <w:rsid w:val="00B818D0"/>
    <w:rsid w:val="00B83E5D"/>
    <w:rsid w:val="00B84B5F"/>
    <w:rsid w:val="00B9219E"/>
    <w:rsid w:val="00B9377D"/>
    <w:rsid w:val="00B93849"/>
    <w:rsid w:val="00B95519"/>
    <w:rsid w:val="00B96060"/>
    <w:rsid w:val="00B96CDD"/>
    <w:rsid w:val="00B97527"/>
    <w:rsid w:val="00BA23E4"/>
    <w:rsid w:val="00BA2F0A"/>
    <w:rsid w:val="00BA5473"/>
    <w:rsid w:val="00BB2728"/>
    <w:rsid w:val="00BB2F2D"/>
    <w:rsid w:val="00BB34B1"/>
    <w:rsid w:val="00BB3535"/>
    <w:rsid w:val="00BB3614"/>
    <w:rsid w:val="00BB3F4A"/>
    <w:rsid w:val="00BB5AFA"/>
    <w:rsid w:val="00BB6789"/>
    <w:rsid w:val="00BB7D65"/>
    <w:rsid w:val="00BC5441"/>
    <w:rsid w:val="00BC582A"/>
    <w:rsid w:val="00BC622A"/>
    <w:rsid w:val="00BD08B0"/>
    <w:rsid w:val="00BD123A"/>
    <w:rsid w:val="00BD2708"/>
    <w:rsid w:val="00BD420D"/>
    <w:rsid w:val="00BD4C1C"/>
    <w:rsid w:val="00BD67D7"/>
    <w:rsid w:val="00BE3801"/>
    <w:rsid w:val="00BE3E8F"/>
    <w:rsid w:val="00BF0733"/>
    <w:rsid w:val="00BF23CF"/>
    <w:rsid w:val="00BF617F"/>
    <w:rsid w:val="00BF6D05"/>
    <w:rsid w:val="00BF75E3"/>
    <w:rsid w:val="00BF7984"/>
    <w:rsid w:val="00C018E4"/>
    <w:rsid w:val="00C02D6D"/>
    <w:rsid w:val="00C044C1"/>
    <w:rsid w:val="00C04AD8"/>
    <w:rsid w:val="00C075B9"/>
    <w:rsid w:val="00C079E8"/>
    <w:rsid w:val="00C14447"/>
    <w:rsid w:val="00C1657D"/>
    <w:rsid w:val="00C1667C"/>
    <w:rsid w:val="00C168AE"/>
    <w:rsid w:val="00C176EB"/>
    <w:rsid w:val="00C17F51"/>
    <w:rsid w:val="00C20434"/>
    <w:rsid w:val="00C26132"/>
    <w:rsid w:val="00C337A4"/>
    <w:rsid w:val="00C35A10"/>
    <w:rsid w:val="00C43998"/>
    <w:rsid w:val="00C4727E"/>
    <w:rsid w:val="00C477AF"/>
    <w:rsid w:val="00C47800"/>
    <w:rsid w:val="00C529EE"/>
    <w:rsid w:val="00C5434A"/>
    <w:rsid w:val="00C54A9F"/>
    <w:rsid w:val="00C55B4D"/>
    <w:rsid w:val="00C618BE"/>
    <w:rsid w:val="00C6308B"/>
    <w:rsid w:val="00C63C99"/>
    <w:rsid w:val="00C63CCA"/>
    <w:rsid w:val="00C65683"/>
    <w:rsid w:val="00C65D26"/>
    <w:rsid w:val="00C666CB"/>
    <w:rsid w:val="00C67CD7"/>
    <w:rsid w:val="00C7003F"/>
    <w:rsid w:val="00C708C8"/>
    <w:rsid w:val="00C711D2"/>
    <w:rsid w:val="00C74A45"/>
    <w:rsid w:val="00C81B32"/>
    <w:rsid w:val="00C91DC9"/>
    <w:rsid w:val="00C947BE"/>
    <w:rsid w:val="00C95D49"/>
    <w:rsid w:val="00CA395C"/>
    <w:rsid w:val="00CA46F6"/>
    <w:rsid w:val="00CA7C98"/>
    <w:rsid w:val="00CB2AE2"/>
    <w:rsid w:val="00CB2C45"/>
    <w:rsid w:val="00CB43F0"/>
    <w:rsid w:val="00CC166A"/>
    <w:rsid w:val="00CC1C90"/>
    <w:rsid w:val="00CC3E4F"/>
    <w:rsid w:val="00CD6FC5"/>
    <w:rsid w:val="00CD7090"/>
    <w:rsid w:val="00CE0487"/>
    <w:rsid w:val="00CE702B"/>
    <w:rsid w:val="00CE70BF"/>
    <w:rsid w:val="00CE7C8C"/>
    <w:rsid w:val="00CF4D36"/>
    <w:rsid w:val="00CF54EA"/>
    <w:rsid w:val="00CF5B59"/>
    <w:rsid w:val="00CF7F22"/>
    <w:rsid w:val="00D00268"/>
    <w:rsid w:val="00D039B6"/>
    <w:rsid w:val="00D03E01"/>
    <w:rsid w:val="00D0473C"/>
    <w:rsid w:val="00D04920"/>
    <w:rsid w:val="00D050DF"/>
    <w:rsid w:val="00D05349"/>
    <w:rsid w:val="00D05A3B"/>
    <w:rsid w:val="00D1032E"/>
    <w:rsid w:val="00D10B96"/>
    <w:rsid w:val="00D11550"/>
    <w:rsid w:val="00D13867"/>
    <w:rsid w:val="00D15F94"/>
    <w:rsid w:val="00D16E23"/>
    <w:rsid w:val="00D17E26"/>
    <w:rsid w:val="00D248E5"/>
    <w:rsid w:val="00D258DC"/>
    <w:rsid w:val="00D25A80"/>
    <w:rsid w:val="00D266B0"/>
    <w:rsid w:val="00D2697F"/>
    <w:rsid w:val="00D30D7E"/>
    <w:rsid w:val="00D31A40"/>
    <w:rsid w:val="00D32626"/>
    <w:rsid w:val="00D331E3"/>
    <w:rsid w:val="00D365CF"/>
    <w:rsid w:val="00D36BF9"/>
    <w:rsid w:val="00D427A7"/>
    <w:rsid w:val="00D45881"/>
    <w:rsid w:val="00D45F42"/>
    <w:rsid w:val="00D4765F"/>
    <w:rsid w:val="00D50302"/>
    <w:rsid w:val="00D50E8E"/>
    <w:rsid w:val="00D532A5"/>
    <w:rsid w:val="00D5533C"/>
    <w:rsid w:val="00D6132B"/>
    <w:rsid w:val="00D62343"/>
    <w:rsid w:val="00D63F60"/>
    <w:rsid w:val="00D64315"/>
    <w:rsid w:val="00D64356"/>
    <w:rsid w:val="00D661B9"/>
    <w:rsid w:val="00D664B0"/>
    <w:rsid w:val="00D7137E"/>
    <w:rsid w:val="00D7160F"/>
    <w:rsid w:val="00D71E84"/>
    <w:rsid w:val="00D743F1"/>
    <w:rsid w:val="00D752BB"/>
    <w:rsid w:val="00D753E3"/>
    <w:rsid w:val="00D77249"/>
    <w:rsid w:val="00D77CD4"/>
    <w:rsid w:val="00D83AC5"/>
    <w:rsid w:val="00D85E7D"/>
    <w:rsid w:val="00D90CDE"/>
    <w:rsid w:val="00D921F9"/>
    <w:rsid w:val="00D9258D"/>
    <w:rsid w:val="00D93377"/>
    <w:rsid w:val="00D9585B"/>
    <w:rsid w:val="00DA005E"/>
    <w:rsid w:val="00DA10E6"/>
    <w:rsid w:val="00DA21A0"/>
    <w:rsid w:val="00DA258D"/>
    <w:rsid w:val="00DA4CFB"/>
    <w:rsid w:val="00DA5B65"/>
    <w:rsid w:val="00DA6935"/>
    <w:rsid w:val="00DA7791"/>
    <w:rsid w:val="00DA7F13"/>
    <w:rsid w:val="00DB0324"/>
    <w:rsid w:val="00DB16D2"/>
    <w:rsid w:val="00DB4F5A"/>
    <w:rsid w:val="00DC31AD"/>
    <w:rsid w:val="00DC3AF0"/>
    <w:rsid w:val="00DD056D"/>
    <w:rsid w:val="00DD4256"/>
    <w:rsid w:val="00DD5592"/>
    <w:rsid w:val="00DE2547"/>
    <w:rsid w:val="00DE428A"/>
    <w:rsid w:val="00DE583E"/>
    <w:rsid w:val="00DE5A9C"/>
    <w:rsid w:val="00DE77D8"/>
    <w:rsid w:val="00DF0A16"/>
    <w:rsid w:val="00DF13EE"/>
    <w:rsid w:val="00DF3B68"/>
    <w:rsid w:val="00DF5A00"/>
    <w:rsid w:val="00E034DB"/>
    <w:rsid w:val="00E042C1"/>
    <w:rsid w:val="00E06170"/>
    <w:rsid w:val="00E118C9"/>
    <w:rsid w:val="00E142F5"/>
    <w:rsid w:val="00E15ACF"/>
    <w:rsid w:val="00E15FA3"/>
    <w:rsid w:val="00E22087"/>
    <w:rsid w:val="00E22F90"/>
    <w:rsid w:val="00E31367"/>
    <w:rsid w:val="00E3293F"/>
    <w:rsid w:val="00E33083"/>
    <w:rsid w:val="00E33ADC"/>
    <w:rsid w:val="00E466FA"/>
    <w:rsid w:val="00E47F91"/>
    <w:rsid w:val="00E50BAC"/>
    <w:rsid w:val="00E52180"/>
    <w:rsid w:val="00E53B83"/>
    <w:rsid w:val="00E56087"/>
    <w:rsid w:val="00E60218"/>
    <w:rsid w:val="00E60B8A"/>
    <w:rsid w:val="00E6284C"/>
    <w:rsid w:val="00E63D89"/>
    <w:rsid w:val="00E674DC"/>
    <w:rsid w:val="00E67B84"/>
    <w:rsid w:val="00E71757"/>
    <w:rsid w:val="00E72095"/>
    <w:rsid w:val="00E72606"/>
    <w:rsid w:val="00E73C35"/>
    <w:rsid w:val="00E73E70"/>
    <w:rsid w:val="00E741C7"/>
    <w:rsid w:val="00E77601"/>
    <w:rsid w:val="00E82BCE"/>
    <w:rsid w:val="00E84C15"/>
    <w:rsid w:val="00E85275"/>
    <w:rsid w:val="00E85989"/>
    <w:rsid w:val="00E85C6C"/>
    <w:rsid w:val="00E85C7F"/>
    <w:rsid w:val="00E85E4A"/>
    <w:rsid w:val="00E911E3"/>
    <w:rsid w:val="00E94F62"/>
    <w:rsid w:val="00E9514D"/>
    <w:rsid w:val="00E955D0"/>
    <w:rsid w:val="00E970E6"/>
    <w:rsid w:val="00EA068B"/>
    <w:rsid w:val="00EA3348"/>
    <w:rsid w:val="00EA3FC8"/>
    <w:rsid w:val="00EA4913"/>
    <w:rsid w:val="00EA7282"/>
    <w:rsid w:val="00EB1B00"/>
    <w:rsid w:val="00EB47FB"/>
    <w:rsid w:val="00EB4F18"/>
    <w:rsid w:val="00EC09AD"/>
    <w:rsid w:val="00EC419D"/>
    <w:rsid w:val="00ED39A1"/>
    <w:rsid w:val="00EE1079"/>
    <w:rsid w:val="00EE1151"/>
    <w:rsid w:val="00EE2DEB"/>
    <w:rsid w:val="00EE5343"/>
    <w:rsid w:val="00EE6828"/>
    <w:rsid w:val="00EF0B1E"/>
    <w:rsid w:val="00EF0EE8"/>
    <w:rsid w:val="00EF132C"/>
    <w:rsid w:val="00EF388A"/>
    <w:rsid w:val="00F025B5"/>
    <w:rsid w:val="00F03378"/>
    <w:rsid w:val="00F043E4"/>
    <w:rsid w:val="00F06D74"/>
    <w:rsid w:val="00F07B4A"/>
    <w:rsid w:val="00F1170F"/>
    <w:rsid w:val="00F21AE5"/>
    <w:rsid w:val="00F22188"/>
    <w:rsid w:val="00F24AB3"/>
    <w:rsid w:val="00F264D3"/>
    <w:rsid w:val="00F26C20"/>
    <w:rsid w:val="00F277DA"/>
    <w:rsid w:val="00F3012C"/>
    <w:rsid w:val="00F31365"/>
    <w:rsid w:val="00F31F5B"/>
    <w:rsid w:val="00F321BB"/>
    <w:rsid w:val="00F3287A"/>
    <w:rsid w:val="00F33039"/>
    <w:rsid w:val="00F3403E"/>
    <w:rsid w:val="00F34E74"/>
    <w:rsid w:val="00F3532A"/>
    <w:rsid w:val="00F36966"/>
    <w:rsid w:val="00F41BE7"/>
    <w:rsid w:val="00F41F5C"/>
    <w:rsid w:val="00F422A4"/>
    <w:rsid w:val="00F437CE"/>
    <w:rsid w:val="00F44194"/>
    <w:rsid w:val="00F46F49"/>
    <w:rsid w:val="00F5048A"/>
    <w:rsid w:val="00F5056B"/>
    <w:rsid w:val="00F5116D"/>
    <w:rsid w:val="00F51B21"/>
    <w:rsid w:val="00F5404C"/>
    <w:rsid w:val="00F5524C"/>
    <w:rsid w:val="00F64FC9"/>
    <w:rsid w:val="00F65426"/>
    <w:rsid w:val="00F6784F"/>
    <w:rsid w:val="00F70C77"/>
    <w:rsid w:val="00F758A9"/>
    <w:rsid w:val="00F75F2C"/>
    <w:rsid w:val="00F82135"/>
    <w:rsid w:val="00F8281C"/>
    <w:rsid w:val="00F83191"/>
    <w:rsid w:val="00F83E23"/>
    <w:rsid w:val="00F848EB"/>
    <w:rsid w:val="00F92B38"/>
    <w:rsid w:val="00F94907"/>
    <w:rsid w:val="00F96214"/>
    <w:rsid w:val="00FA0004"/>
    <w:rsid w:val="00FA2576"/>
    <w:rsid w:val="00FA4A12"/>
    <w:rsid w:val="00FA5717"/>
    <w:rsid w:val="00FA691E"/>
    <w:rsid w:val="00FB0565"/>
    <w:rsid w:val="00FB33A9"/>
    <w:rsid w:val="00FB51B5"/>
    <w:rsid w:val="00FC693C"/>
    <w:rsid w:val="00FC76F5"/>
    <w:rsid w:val="00FC7B0D"/>
    <w:rsid w:val="00FC7E82"/>
    <w:rsid w:val="00FD375E"/>
    <w:rsid w:val="00FD43EC"/>
    <w:rsid w:val="00FD6FB3"/>
    <w:rsid w:val="00FE57A0"/>
    <w:rsid w:val="00FE6152"/>
    <w:rsid w:val="00FF194C"/>
    <w:rsid w:val="00FF1D3E"/>
    <w:rsid w:val="00FF48D5"/>
    <w:rsid w:val="00FF581C"/>
    <w:rsid w:val="00FF592A"/>
    <w:rsid w:val="00FF5F2E"/>
    <w:rsid w:val="00FF6D71"/>
    <w:rsid w:val="04B80BEB"/>
    <w:rsid w:val="079C0A69"/>
    <w:rsid w:val="0D264B7F"/>
    <w:rsid w:val="0E951702"/>
    <w:rsid w:val="12C356EB"/>
    <w:rsid w:val="1386585C"/>
    <w:rsid w:val="14470696"/>
    <w:rsid w:val="14D06913"/>
    <w:rsid w:val="15CB5577"/>
    <w:rsid w:val="16B447EF"/>
    <w:rsid w:val="1B9C475C"/>
    <w:rsid w:val="1E5A2858"/>
    <w:rsid w:val="209323A3"/>
    <w:rsid w:val="22306529"/>
    <w:rsid w:val="2AF82447"/>
    <w:rsid w:val="2B1D55DC"/>
    <w:rsid w:val="2B7F1B27"/>
    <w:rsid w:val="2C6C7FEB"/>
    <w:rsid w:val="2FED1801"/>
    <w:rsid w:val="32627169"/>
    <w:rsid w:val="33C006A2"/>
    <w:rsid w:val="350F2C25"/>
    <w:rsid w:val="3B293DF5"/>
    <w:rsid w:val="4521081E"/>
    <w:rsid w:val="573E58A3"/>
    <w:rsid w:val="5DCB7D1D"/>
    <w:rsid w:val="61903386"/>
    <w:rsid w:val="67B91191"/>
    <w:rsid w:val="6CF30585"/>
    <w:rsid w:val="6DE67CC6"/>
    <w:rsid w:val="6EB1178C"/>
    <w:rsid w:val="79291E53"/>
    <w:rsid w:val="7FA65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12" w:beforeLines="100" w:after="312" w:afterLines="100" w:line="480" w:lineRule="atLeast"/>
      <w:jc w:val="center"/>
      <w:outlineLvl w:val="0"/>
    </w:pPr>
    <w:rPr>
      <w:b/>
      <w:spacing w:val="8"/>
      <w:kern w:val="0"/>
      <w:sz w:val="32"/>
      <w:szCs w:val="32"/>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5"/>
    <w:qFormat/>
    <w:uiPriority w:val="99"/>
    <w:rPr>
      <w:b/>
      <w:bCs/>
    </w:rPr>
  </w:style>
  <w:style w:type="paragraph" w:styleId="6">
    <w:name w:val="annotation text"/>
    <w:basedOn w:val="1"/>
    <w:link w:val="34"/>
    <w:qFormat/>
    <w:uiPriority w:val="99"/>
    <w:pPr>
      <w:jc w:val="left"/>
    </w:pPr>
  </w:style>
  <w:style w:type="paragraph" w:styleId="7">
    <w:name w:val="Normal Indent"/>
    <w:basedOn w:val="1"/>
    <w:qFormat/>
    <w:uiPriority w:val="99"/>
    <w:pPr>
      <w:ind w:firstLine="420" w:firstLineChars="200"/>
    </w:pPr>
  </w:style>
  <w:style w:type="paragraph" w:styleId="8">
    <w:name w:val="caption"/>
    <w:basedOn w:val="1"/>
    <w:next w:val="1"/>
    <w:qFormat/>
    <w:uiPriority w:val="35"/>
    <w:rPr>
      <w:rFonts w:ascii="Cambria" w:hAnsi="Cambria" w:eastAsia="黑体" w:cs="宋体"/>
      <w:sz w:val="20"/>
      <w:szCs w:val="20"/>
    </w:rPr>
  </w:style>
  <w:style w:type="paragraph" w:styleId="9">
    <w:name w:val="Document Map"/>
    <w:basedOn w:val="1"/>
    <w:link w:val="45"/>
    <w:qFormat/>
    <w:uiPriority w:val="99"/>
    <w:rPr>
      <w:rFonts w:ascii="宋体"/>
      <w:sz w:val="18"/>
      <w:szCs w:val="18"/>
    </w:rPr>
  </w:style>
  <w:style w:type="paragraph" w:styleId="10">
    <w:name w:val="Body Text"/>
    <w:basedOn w:val="1"/>
    <w:link w:val="26"/>
    <w:qFormat/>
    <w:uiPriority w:val="0"/>
    <w:pPr>
      <w:spacing w:after="120"/>
    </w:pPr>
  </w:style>
  <w:style w:type="paragraph" w:styleId="11">
    <w:name w:val="toc 3"/>
    <w:basedOn w:val="1"/>
    <w:next w:val="1"/>
    <w:qFormat/>
    <w:uiPriority w:val="39"/>
    <w:pPr>
      <w:widowControl/>
      <w:spacing w:after="100" w:line="276" w:lineRule="auto"/>
      <w:ind w:left="440"/>
      <w:jc w:val="left"/>
    </w:pPr>
    <w:rPr>
      <w:rFonts w:ascii="Calibri" w:hAnsi="Calibri" w:cs="宋体"/>
      <w:kern w:val="0"/>
      <w:sz w:val="22"/>
      <w:szCs w:val="22"/>
    </w:rPr>
  </w:style>
  <w:style w:type="paragraph" w:styleId="12">
    <w:name w:val="Date"/>
    <w:basedOn w:val="1"/>
    <w:next w:val="1"/>
    <w:link w:val="36"/>
    <w:qFormat/>
    <w:uiPriority w:val="99"/>
    <w:pPr>
      <w:ind w:left="100" w:leftChars="2500"/>
    </w:pPr>
  </w:style>
  <w:style w:type="paragraph" w:styleId="13">
    <w:name w:val="Balloon Text"/>
    <w:basedOn w:val="1"/>
    <w:link w:val="30"/>
    <w:qFormat/>
    <w:uiPriority w:val="99"/>
    <w:rPr>
      <w:sz w:val="18"/>
      <w:szCs w:val="18"/>
    </w:rPr>
  </w:style>
  <w:style w:type="paragraph" w:styleId="14">
    <w:name w:val="footer"/>
    <w:basedOn w:val="1"/>
    <w:link w:val="25"/>
    <w:qFormat/>
    <w:uiPriority w:val="99"/>
    <w:pPr>
      <w:tabs>
        <w:tab w:val="center" w:pos="4153"/>
        <w:tab w:val="right" w:pos="8306"/>
      </w:tabs>
      <w:snapToGrid w:val="0"/>
      <w:jc w:val="left"/>
    </w:pPr>
    <w:rPr>
      <w:sz w:val="18"/>
      <w:szCs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pacing w:line="360" w:lineRule="auto"/>
    </w:pPr>
  </w:style>
  <w:style w:type="paragraph" w:styleId="17">
    <w:name w:val="toc 2"/>
    <w:basedOn w:val="1"/>
    <w:next w:val="1"/>
    <w:qFormat/>
    <w:uiPriority w:val="39"/>
    <w:pPr>
      <w:ind w:left="420" w:leftChars="200"/>
    </w:p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99"/>
    <w:rPr>
      <w:sz w:val="21"/>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字符"/>
    <w:basedOn w:val="18"/>
    <w:link w:val="2"/>
    <w:qFormat/>
    <w:uiPriority w:val="0"/>
    <w:rPr>
      <w:rFonts w:ascii="Times New Roman" w:hAnsi="Times New Roman" w:eastAsia="宋体" w:cs="Times New Roman"/>
      <w:b/>
      <w:spacing w:val="8"/>
      <w:kern w:val="0"/>
      <w:sz w:val="32"/>
      <w:szCs w:val="32"/>
    </w:rPr>
  </w:style>
  <w:style w:type="character" w:customStyle="1" w:styleId="25">
    <w:name w:val="页脚 字符"/>
    <w:basedOn w:val="18"/>
    <w:link w:val="14"/>
    <w:qFormat/>
    <w:uiPriority w:val="99"/>
    <w:rPr>
      <w:rFonts w:ascii="Times New Roman" w:hAnsi="Times New Roman" w:eastAsia="宋体" w:cs="Times New Roman"/>
      <w:sz w:val="18"/>
      <w:szCs w:val="18"/>
    </w:rPr>
  </w:style>
  <w:style w:type="character" w:customStyle="1" w:styleId="26">
    <w:name w:val="正文文本 字符"/>
    <w:basedOn w:val="18"/>
    <w:link w:val="10"/>
    <w:qFormat/>
    <w:uiPriority w:val="0"/>
    <w:rPr>
      <w:rFonts w:ascii="Times New Roman" w:hAnsi="Times New Roman" w:eastAsia="宋体" w:cs="Times New Roman"/>
      <w:szCs w:val="24"/>
    </w:rPr>
  </w:style>
  <w:style w:type="paragraph" w:customStyle="1" w:styleId="27">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28">
    <w:name w:val="封面标准号1"/>
    <w:qFormat/>
    <w:uiPriority w:val="0"/>
    <w:pPr>
      <w:widowControl w:val="0"/>
      <w:kinsoku w:val="0"/>
      <w:overflowPunct w:val="0"/>
      <w:autoSpaceDE w:val="0"/>
      <w:autoSpaceDN w:val="0"/>
      <w:spacing w:before="308" w:after="160" w:line="259" w:lineRule="auto"/>
      <w:jc w:val="right"/>
      <w:textAlignment w:val="center"/>
    </w:pPr>
    <w:rPr>
      <w:rFonts w:ascii="Times New Roman" w:hAnsi="Times New Roman" w:eastAsia="宋体" w:cs="Times New Roman"/>
      <w:sz w:val="28"/>
      <w:lang w:val="en-US" w:eastAsia="zh-CN" w:bidi="ar-SA"/>
    </w:rPr>
  </w:style>
  <w:style w:type="character" w:customStyle="1" w:styleId="29">
    <w:name w:val="标题 2 字符"/>
    <w:basedOn w:val="18"/>
    <w:link w:val="3"/>
    <w:qFormat/>
    <w:uiPriority w:val="0"/>
    <w:rPr>
      <w:rFonts w:ascii="Arial" w:hAnsi="Arial" w:eastAsia="黑体" w:cs="Times New Roman"/>
      <w:b/>
      <w:bCs/>
      <w:sz w:val="32"/>
      <w:szCs w:val="32"/>
    </w:rPr>
  </w:style>
  <w:style w:type="character" w:customStyle="1" w:styleId="30">
    <w:name w:val="批注框文本 字符"/>
    <w:basedOn w:val="18"/>
    <w:link w:val="13"/>
    <w:qFormat/>
    <w:uiPriority w:val="99"/>
    <w:rPr>
      <w:rFonts w:ascii="Times New Roman" w:hAnsi="Times New Roman" w:eastAsia="宋体" w:cs="Times New Roman"/>
      <w:sz w:val="18"/>
      <w:szCs w:val="18"/>
    </w:rPr>
  </w:style>
  <w:style w:type="paragraph" w:customStyle="1" w:styleId="31">
    <w:name w:val="列出段落1"/>
    <w:basedOn w:val="1"/>
    <w:qFormat/>
    <w:uiPriority w:val="34"/>
    <w:pPr>
      <w:ind w:firstLine="420" w:firstLineChars="200"/>
    </w:pPr>
  </w:style>
  <w:style w:type="paragraph" w:customStyle="1" w:styleId="32">
    <w:name w:val="正文-第几条"/>
    <w:basedOn w:val="1"/>
    <w:qFormat/>
    <w:uiPriority w:val="0"/>
    <w:pPr>
      <w:widowControl/>
      <w:numPr>
        <w:ilvl w:val="1"/>
        <w:numId w:val="1"/>
      </w:numPr>
      <w:tabs>
        <w:tab w:val="left" w:pos="360"/>
      </w:tabs>
      <w:autoSpaceDE w:val="0"/>
      <w:autoSpaceDN w:val="0"/>
      <w:snapToGrid w:val="0"/>
      <w:spacing w:line="360" w:lineRule="auto"/>
      <w:ind w:firstLine="0"/>
      <w:outlineLvl w:val="0"/>
    </w:pPr>
    <w:rPr>
      <w:rFonts w:ascii="微软雅黑" w:hAnsi="微软雅黑" w:eastAsia="微软雅黑"/>
      <w:color w:val="000000"/>
      <w:kern w:val="0"/>
      <w:sz w:val="22"/>
      <w:szCs w:val="18"/>
    </w:rPr>
  </w:style>
  <w:style w:type="character" w:customStyle="1" w:styleId="33">
    <w:name w:val="页眉 字符"/>
    <w:basedOn w:val="18"/>
    <w:link w:val="15"/>
    <w:qFormat/>
    <w:uiPriority w:val="99"/>
    <w:rPr>
      <w:rFonts w:ascii="Times New Roman" w:hAnsi="Times New Roman" w:eastAsia="宋体" w:cs="Times New Roman"/>
      <w:sz w:val="18"/>
      <w:szCs w:val="18"/>
    </w:rPr>
  </w:style>
  <w:style w:type="character" w:customStyle="1" w:styleId="34">
    <w:name w:val="批注文字 字符"/>
    <w:basedOn w:val="18"/>
    <w:link w:val="6"/>
    <w:qFormat/>
    <w:uiPriority w:val="99"/>
    <w:rPr>
      <w:rFonts w:ascii="Times New Roman" w:hAnsi="Times New Roman" w:eastAsia="宋体" w:cs="Times New Roman"/>
      <w:szCs w:val="24"/>
    </w:rPr>
  </w:style>
  <w:style w:type="character" w:customStyle="1" w:styleId="35">
    <w:name w:val="批注主题 字符"/>
    <w:basedOn w:val="34"/>
    <w:link w:val="5"/>
    <w:qFormat/>
    <w:uiPriority w:val="99"/>
    <w:rPr>
      <w:rFonts w:ascii="Times New Roman" w:hAnsi="Times New Roman" w:eastAsia="宋体" w:cs="Times New Roman"/>
      <w:b/>
      <w:bCs/>
      <w:szCs w:val="24"/>
    </w:rPr>
  </w:style>
  <w:style w:type="character" w:customStyle="1" w:styleId="36">
    <w:name w:val="日期 字符"/>
    <w:basedOn w:val="18"/>
    <w:link w:val="12"/>
    <w:qFormat/>
    <w:uiPriority w:val="99"/>
    <w:rPr>
      <w:rFonts w:ascii="Times New Roman" w:hAnsi="Times New Roman" w:eastAsia="宋体" w:cs="Times New Roman"/>
      <w:szCs w:val="24"/>
    </w:rPr>
  </w:style>
  <w:style w:type="paragraph" w:customStyle="1" w:styleId="37">
    <w:name w:val="+列表编号"/>
    <w:basedOn w:val="1"/>
    <w:qFormat/>
    <w:uiPriority w:val="0"/>
    <w:pPr>
      <w:tabs>
        <w:tab w:val="center" w:pos="4200"/>
        <w:tab w:val="right" w:pos="8400"/>
      </w:tabs>
      <w:jc w:val="center"/>
    </w:pPr>
    <w:rPr>
      <w:rFonts w:ascii="宋体" w:hAnsi="宋体" w:cs="宋体"/>
      <w:b/>
      <w:kern w:val="0"/>
      <w:sz w:val="24"/>
    </w:rPr>
  </w:style>
  <w:style w:type="paragraph" w:customStyle="1" w:styleId="38">
    <w:name w:val="样式 正文首行缩进 + 首行缩进:  1 字符"/>
    <w:basedOn w:val="7"/>
    <w:next w:val="31"/>
    <w:qFormat/>
    <w:uiPriority w:val="0"/>
    <w:pPr>
      <w:adjustRightInd w:val="0"/>
      <w:spacing w:line="360" w:lineRule="auto"/>
      <w:ind w:firstLine="100"/>
      <w:textAlignment w:val="baseline"/>
    </w:pPr>
    <w:rPr>
      <w:rFonts w:cs="宋体"/>
      <w:kern w:val="0"/>
      <w:sz w:val="24"/>
      <w:szCs w:val="20"/>
    </w:rPr>
  </w:style>
  <w:style w:type="paragraph" w:customStyle="1" w:styleId="39">
    <w:name w:val="+列表2"/>
    <w:basedOn w:val="1"/>
    <w:qFormat/>
    <w:uiPriority w:val="0"/>
    <w:pPr>
      <w:jc w:val="center"/>
    </w:pPr>
    <w:rPr>
      <w:szCs w:val="21"/>
    </w:rPr>
  </w:style>
  <w:style w:type="paragraph" w:customStyle="1" w:styleId="40">
    <w:name w:val="列出段落11"/>
    <w:basedOn w:val="1"/>
    <w:qFormat/>
    <w:uiPriority w:val="34"/>
    <w:pPr>
      <w:ind w:firstLine="420" w:firstLineChars="200"/>
    </w:pPr>
    <w:rPr>
      <w:rFonts w:ascii="Calibri" w:hAnsi="Calibri"/>
      <w:szCs w:val="22"/>
    </w:rPr>
  </w:style>
  <w:style w:type="paragraph" w:customStyle="1" w:styleId="41">
    <w:name w:val="p0"/>
    <w:basedOn w:val="1"/>
    <w:qFormat/>
    <w:uiPriority w:val="0"/>
    <w:pPr>
      <w:widowControl/>
    </w:pPr>
    <w:rPr>
      <w:rFonts w:ascii="Calibri" w:hAnsi="Calibri" w:cs="宋体"/>
      <w:kern w:val="0"/>
      <w:szCs w:val="21"/>
    </w:rPr>
  </w:style>
  <w:style w:type="character" w:customStyle="1" w:styleId="42">
    <w:name w:val="占位符文本1"/>
    <w:basedOn w:val="18"/>
    <w:qFormat/>
    <w:uiPriority w:val="99"/>
    <w:rPr>
      <w:color w:val="808080"/>
    </w:rPr>
  </w:style>
  <w:style w:type="paragraph" w:customStyle="1" w:styleId="43">
    <w:name w:val="无间隔1"/>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customStyle="1" w:styleId="44">
    <w:name w:val="标题 3 字符"/>
    <w:basedOn w:val="18"/>
    <w:link w:val="4"/>
    <w:qFormat/>
    <w:uiPriority w:val="9"/>
    <w:rPr>
      <w:rFonts w:ascii="Times New Roman" w:hAnsi="Times New Roman" w:eastAsia="宋体" w:cs="Times New Roman"/>
      <w:b/>
      <w:bCs/>
      <w:sz w:val="32"/>
      <w:szCs w:val="32"/>
    </w:rPr>
  </w:style>
  <w:style w:type="character" w:customStyle="1" w:styleId="45">
    <w:name w:val="文档结构图 字符"/>
    <w:basedOn w:val="18"/>
    <w:link w:val="9"/>
    <w:qFormat/>
    <w:uiPriority w:val="99"/>
    <w:rPr>
      <w:rFonts w:ascii="宋体" w:hAnsi="Times New Roman" w:eastAsia="宋体" w:cs="Times New Roman"/>
      <w:sz w:val="18"/>
      <w:szCs w:val="18"/>
    </w:rPr>
  </w:style>
  <w:style w:type="paragraph" w:customStyle="1" w:styleId="46">
    <w:name w:val="修订1"/>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47">
    <w:name w:val="章"/>
    <w:basedOn w:val="1"/>
    <w:qFormat/>
    <w:uiPriority w:val="0"/>
    <w:pPr>
      <w:spacing w:before="312" w:beforeLines="100" w:after="312" w:afterLines="100" w:line="300" w:lineRule="auto"/>
      <w:jc w:val="center"/>
      <w:outlineLvl w:val="0"/>
    </w:pPr>
    <w:rPr>
      <w:b/>
      <w:bCs/>
      <w:sz w:val="28"/>
      <w:szCs w:val="28"/>
    </w:rPr>
  </w:style>
  <w:style w:type="paragraph" w:customStyle="1" w:styleId="48">
    <w:name w:val="TOC 标题1"/>
    <w:basedOn w:val="2"/>
    <w:next w:val="1"/>
    <w:qFormat/>
    <w:uiPriority w:val="39"/>
    <w:pPr>
      <w:widowControl/>
      <w:spacing w:before="480" w:line="276" w:lineRule="auto"/>
      <w:jc w:val="left"/>
      <w:outlineLvl w:val="9"/>
    </w:pPr>
    <w:rPr>
      <w:rFonts w:ascii="Cambria" w:hAnsi="Cambria" w:cs="宋体"/>
      <w:bCs/>
      <w:color w:val="365F91"/>
      <w:spacing w:val="0"/>
      <w:sz w:val="28"/>
      <w:szCs w:val="28"/>
    </w:rPr>
  </w:style>
  <w:style w:type="paragraph" w:customStyle="1" w:styleId="49">
    <w:name w:val="x_msonormal"/>
    <w:basedOn w:val="1"/>
    <w:qFormat/>
    <w:uiPriority w:val="0"/>
    <w:pPr>
      <w:widowControl/>
      <w:spacing w:before="100" w:beforeAutospacing="1" w:after="100" w:afterAutospacing="1"/>
      <w:jc w:val="left"/>
    </w:pPr>
    <w:rPr>
      <w:rFonts w:eastAsia="Times New Roman"/>
      <w:kern w:val="0"/>
      <w:sz w:val="24"/>
    </w:rPr>
  </w:style>
  <w:style w:type="character" w:customStyle="1" w:styleId="50">
    <w:name w:val="apple-converted-space"/>
    <w:basedOn w:val="18"/>
    <w:qFormat/>
    <w:uiPriority w:val="0"/>
  </w:style>
  <w:style w:type="paragraph" w:styleId="51">
    <w:name w:val="List Paragraph"/>
    <w:basedOn w:val="1"/>
    <w:qFormat/>
    <w:uiPriority w:val="34"/>
    <w:pPr>
      <w:ind w:left="720"/>
      <w:contextualSpacing/>
    </w:pPr>
  </w:style>
  <w:style w:type="paragraph" w:customStyle="1" w:styleId="52">
    <w:name w:val="修订2"/>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styleId="53">
    <w:name w:val="Placeholder Text"/>
    <w:basedOn w:val="1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30740;&#31350;&#29983;\&#35770;&#25991;\&#25968;&#25454;&#22788;&#29702;\&#22330;&#27425;&#20998;&#24067;&#19981;&#22343;\&#22330;&#27425;&#20998;&#24067;&#19981;&#22343;&#65288;&#21271;&#20140;&#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5511;&#21046;&#29575;-&#21271;&#2014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wl84\Desktop\&#27745;&#26579;(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wl84\Desktop\&#27745;&#26579;(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wl84\Desktop\&#27745;&#2657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46896629025"/>
          <c:y val="0.0543165264963641"/>
          <c:w val="0.828964272704346"/>
          <c:h val="0.774274329698425"/>
        </c:manualLayout>
      </c:layout>
      <c:barChart>
        <c:barDir val="col"/>
        <c:grouping val="clustered"/>
        <c:varyColors val="0"/>
        <c:ser>
          <c:idx val="0"/>
          <c:order val="0"/>
          <c:invertIfNegative val="0"/>
          <c:dLbls>
            <c:delete val="1"/>
          </c:dLbls>
          <c:cat>
            <c:numRef>
              <c:f>'Sheet3 (2)'!$C$2:$C$1100</c:f>
              <c:numCache>
                <c:formatCode>General</c:formatCode>
                <c:ptCount val="10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pt idx="1041">
                  <c:v>1041</c:v>
                </c:pt>
                <c:pt idx="1042">
                  <c:v>1042</c:v>
                </c:pt>
                <c:pt idx="1043">
                  <c:v>1043</c:v>
                </c:pt>
                <c:pt idx="1044">
                  <c:v>1044</c:v>
                </c:pt>
                <c:pt idx="1045">
                  <c:v>1045</c:v>
                </c:pt>
                <c:pt idx="1046">
                  <c:v>1046</c:v>
                </c:pt>
                <c:pt idx="1047">
                  <c:v>1047</c:v>
                </c:pt>
                <c:pt idx="1048">
                  <c:v>1048</c:v>
                </c:pt>
                <c:pt idx="1049">
                  <c:v>1049</c:v>
                </c:pt>
                <c:pt idx="1050">
                  <c:v>1050</c:v>
                </c:pt>
                <c:pt idx="1051">
                  <c:v>1051</c:v>
                </c:pt>
                <c:pt idx="1052">
                  <c:v>1052</c:v>
                </c:pt>
                <c:pt idx="1053">
                  <c:v>1053</c:v>
                </c:pt>
                <c:pt idx="1054">
                  <c:v>1054</c:v>
                </c:pt>
                <c:pt idx="1055">
                  <c:v>1055</c:v>
                </c:pt>
                <c:pt idx="1056">
                  <c:v>1056</c:v>
                </c:pt>
                <c:pt idx="1057">
                  <c:v>1057</c:v>
                </c:pt>
                <c:pt idx="1058">
                  <c:v>1058</c:v>
                </c:pt>
                <c:pt idx="1059">
                  <c:v>1059</c:v>
                </c:pt>
                <c:pt idx="1060">
                  <c:v>1060</c:v>
                </c:pt>
                <c:pt idx="1061">
                  <c:v>1061</c:v>
                </c:pt>
                <c:pt idx="1062">
                  <c:v>1062</c:v>
                </c:pt>
                <c:pt idx="1063">
                  <c:v>1063</c:v>
                </c:pt>
                <c:pt idx="1064">
                  <c:v>1064</c:v>
                </c:pt>
                <c:pt idx="1065">
                  <c:v>1065</c:v>
                </c:pt>
                <c:pt idx="1066">
                  <c:v>1066</c:v>
                </c:pt>
                <c:pt idx="1067">
                  <c:v>1067</c:v>
                </c:pt>
                <c:pt idx="1068">
                  <c:v>1068</c:v>
                </c:pt>
                <c:pt idx="1069">
                  <c:v>1069</c:v>
                </c:pt>
                <c:pt idx="1070">
                  <c:v>1070</c:v>
                </c:pt>
                <c:pt idx="1071">
                  <c:v>1071</c:v>
                </c:pt>
                <c:pt idx="1072">
                  <c:v>1072</c:v>
                </c:pt>
                <c:pt idx="1073">
                  <c:v>1073</c:v>
                </c:pt>
                <c:pt idx="1074">
                  <c:v>1074</c:v>
                </c:pt>
                <c:pt idx="1075">
                  <c:v>1075</c:v>
                </c:pt>
                <c:pt idx="1076">
                  <c:v>1076</c:v>
                </c:pt>
                <c:pt idx="1077">
                  <c:v>1077</c:v>
                </c:pt>
                <c:pt idx="1078">
                  <c:v>1078</c:v>
                </c:pt>
                <c:pt idx="1079">
                  <c:v>1079</c:v>
                </c:pt>
                <c:pt idx="1080">
                  <c:v>1080</c:v>
                </c:pt>
                <c:pt idx="1081">
                  <c:v>1081</c:v>
                </c:pt>
                <c:pt idx="1082">
                  <c:v>1082</c:v>
                </c:pt>
                <c:pt idx="1083">
                  <c:v>1083</c:v>
                </c:pt>
                <c:pt idx="1084">
                  <c:v>1084</c:v>
                </c:pt>
                <c:pt idx="1085">
                  <c:v>1085</c:v>
                </c:pt>
                <c:pt idx="1086">
                  <c:v>1086</c:v>
                </c:pt>
                <c:pt idx="1087">
                  <c:v>1087</c:v>
                </c:pt>
                <c:pt idx="1088">
                  <c:v>1088</c:v>
                </c:pt>
                <c:pt idx="1089">
                  <c:v>1089</c:v>
                </c:pt>
                <c:pt idx="1090">
                  <c:v>1090</c:v>
                </c:pt>
                <c:pt idx="1091">
                  <c:v>1091</c:v>
                </c:pt>
                <c:pt idx="1092">
                  <c:v>1092</c:v>
                </c:pt>
                <c:pt idx="1093">
                  <c:v>1093</c:v>
                </c:pt>
                <c:pt idx="1094">
                  <c:v>1094</c:v>
                </c:pt>
                <c:pt idx="1095">
                  <c:v>1095</c:v>
                </c:pt>
                <c:pt idx="1096">
                  <c:v>1096</c:v>
                </c:pt>
                <c:pt idx="1097">
                  <c:v>1097</c:v>
                </c:pt>
                <c:pt idx="1098">
                  <c:v>1098</c:v>
                </c:pt>
              </c:numCache>
            </c:numRef>
          </c:cat>
          <c:val>
            <c:numRef>
              <c:f>'Sheet3 (2)'!$E$2:$E$1100</c:f>
              <c:numCache>
                <c:formatCode>General</c:formatCode>
                <c:ptCount val="1099"/>
                <c:pt idx="0">
                  <c:v>2</c:v>
                </c:pt>
                <c:pt idx="1">
                  <c:v>2.1</c:v>
                </c:pt>
                <c:pt idx="2">
                  <c:v>2.1</c:v>
                </c:pt>
                <c:pt idx="3">
                  <c:v>2.1</c:v>
                </c:pt>
                <c:pt idx="4">
                  <c:v>2.1</c:v>
                </c:pt>
                <c:pt idx="5">
                  <c:v>2.1</c:v>
                </c:pt>
                <c:pt idx="6">
                  <c:v>2.1</c:v>
                </c:pt>
                <c:pt idx="7">
                  <c:v>2.1</c:v>
                </c:pt>
                <c:pt idx="8">
                  <c:v>2.1</c:v>
                </c:pt>
                <c:pt idx="9">
                  <c:v>2.1</c:v>
                </c:pt>
                <c:pt idx="10">
                  <c:v>2.1</c:v>
                </c:pt>
                <c:pt idx="11">
                  <c:v>2.1</c:v>
                </c:pt>
                <c:pt idx="12">
                  <c:v>2.1</c:v>
                </c:pt>
                <c:pt idx="13">
                  <c:v>2.1</c:v>
                </c:pt>
                <c:pt idx="14">
                  <c:v>2.1</c:v>
                </c:pt>
                <c:pt idx="15">
                  <c:v>2.1</c:v>
                </c:pt>
                <c:pt idx="16">
                  <c:v>2.2</c:v>
                </c:pt>
                <c:pt idx="17">
                  <c:v>2.2</c:v>
                </c:pt>
                <c:pt idx="18">
                  <c:v>2.2</c:v>
                </c:pt>
                <c:pt idx="19">
                  <c:v>2.2</c:v>
                </c:pt>
                <c:pt idx="20">
                  <c:v>2.2</c:v>
                </c:pt>
                <c:pt idx="21">
                  <c:v>2.2</c:v>
                </c:pt>
                <c:pt idx="22">
                  <c:v>2.2</c:v>
                </c:pt>
                <c:pt idx="23">
                  <c:v>2.2</c:v>
                </c:pt>
                <c:pt idx="24">
                  <c:v>2.2</c:v>
                </c:pt>
                <c:pt idx="25">
                  <c:v>2.2</c:v>
                </c:pt>
                <c:pt idx="26">
                  <c:v>2.2</c:v>
                </c:pt>
                <c:pt idx="27">
                  <c:v>2.2</c:v>
                </c:pt>
                <c:pt idx="28">
                  <c:v>2.2</c:v>
                </c:pt>
                <c:pt idx="29">
                  <c:v>2.2</c:v>
                </c:pt>
                <c:pt idx="30">
                  <c:v>2.2</c:v>
                </c:pt>
                <c:pt idx="31">
                  <c:v>2.2</c:v>
                </c:pt>
                <c:pt idx="32">
                  <c:v>2.2</c:v>
                </c:pt>
                <c:pt idx="33">
                  <c:v>2.3</c:v>
                </c:pt>
                <c:pt idx="34">
                  <c:v>2.3</c:v>
                </c:pt>
                <c:pt idx="35">
                  <c:v>2.3</c:v>
                </c:pt>
                <c:pt idx="36">
                  <c:v>2.3</c:v>
                </c:pt>
                <c:pt idx="37">
                  <c:v>2.3</c:v>
                </c:pt>
                <c:pt idx="38">
                  <c:v>2.3</c:v>
                </c:pt>
                <c:pt idx="39">
                  <c:v>2.3</c:v>
                </c:pt>
                <c:pt idx="40">
                  <c:v>2.3</c:v>
                </c:pt>
                <c:pt idx="41">
                  <c:v>2.3</c:v>
                </c:pt>
                <c:pt idx="42">
                  <c:v>2.3</c:v>
                </c:pt>
                <c:pt idx="43">
                  <c:v>2.3</c:v>
                </c:pt>
                <c:pt idx="44">
                  <c:v>2.3</c:v>
                </c:pt>
                <c:pt idx="45">
                  <c:v>2.3</c:v>
                </c:pt>
                <c:pt idx="46">
                  <c:v>2.3</c:v>
                </c:pt>
                <c:pt idx="47">
                  <c:v>2.3</c:v>
                </c:pt>
                <c:pt idx="48">
                  <c:v>2.3</c:v>
                </c:pt>
                <c:pt idx="49">
                  <c:v>2.3</c:v>
                </c:pt>
                <c:pt idx="50">
                  <c:v>2.3</c:v>
                </c:pt>
                <c:pt idx="51">
                  <c:v>2.3</c:v>
                </c:pt>
                <c:pt idx="52">
                  <c:v>2.3</c:v>
                </c:pt>
                <c:pt idx="53">
                  <c:v>2.4</c:v>
                </c:pt>
                <c:pt idx="54">
                  <c:v>2.4</c:v>
                </c:pt>
                <c:pt idx="55">
                  <c:v>2.4</c:v>
                </c:pt>
                <c:pt idx="56">
                  <c:v>2.4</c:v>
                </c:pt>
                <c:pt idx="57">
                  <c:v>2.4</c:v>
                </c:pt>
                <c:pt idx="58">
                  <c:v>2.4</c:v>
                </c:pt>
                <c:pt idx="59">
                  <c:v>2.4</c:v>
                </c:pt>
                <c:pt idx="60">
                  <c:v>2.4</c:v>
                </c:pt>
                <c:pt idx="61">
                  <c:v>2.4</c:v>
                </c:pt>
                <c:pt idx="62">
                  <c:v>2.4</c:v>
                </c:pt>
                <c:pt idx="63">
                  <c:v>2.4</c:v>
                </c:pt>
                <c:pt idx="64">
                  <c:v>2.4</c:v>
                </c:pt>
                <c:pt idx="65">
                  <c:v>2.4</c:v>
                </c:pt>
                <c:pt idx="66">
                  <c:v>2.4</c:v>
                </c:pt>
                <c:pt idx="67">
                  <c:v>2.4</c:v>
                </c:pt>
                <c:pt idx="68">
                  <c:v>2.4</c:v>
                </c:pt>
                <c:pt idx="69">
                  <c:v>2.4</c:v>
                </c:pt>
                <c:pt idx="70">
                  <c:v>2.4</c:v>
                </c:pt>
                <c:pt idx="71">
                  <c:v>2.4</c:v>
                </c:pt>
                <c:pt idx="72">
                  <c:v>2.4</c:v>
                </c:pt>
                <c:pt idx="73">
                  <c:v>2.4</c:v>
                </c:pt>
                <c:pt idx="74">
                  <c:v>2.4</c:v>
                </c:pt>
                <c:pt idx="75">
                  <c:v>2.5</c:v>
                </c:pt>
                <c:pt idx="76">
                  <c:v>2.5</c:v>
                </c:pt>
                <c:pt idx="77">
                  <c:v>2.5</c:v>
                </c:pt>
                <c:pt idx="78">
                  <c:v>2.5</c:v>
                </c:pt>
                <c:pt idx="79">
                  <c:v>2.5</c:v>
                </c:pt>
                <c:pt idx="80">
                  <c:v>2.5</c:v>
                </c:pt>
                <c:pt idx="81">
                  <c:v>2.5</c:v>
                </c:pt>
                <c:pt idx="82">
                  <c:v>2.5</c:v>
                </c:pt>
                <c:pt idx="83">
                  <c:v>2.5</c:v>
                </c:pt>
                <c:pt idx="84">
                  <c:v>2.5</c:v>
                </c:pt>
                <c:pt idx="85">
                  <c:v>2.5</c:v>
                </c:pt>
                <c:pt idx="86">
                  <c:v>2.5</c:v>
                </c:pt>
                <c:pt idx="87">
                  <c:v>2.6</c:v>
                </c:pt>
                <c:pt idx="88">
                  <c:v>2.6</c:v>
                </c:pt>
                <c:pt idx="89">
                  <c:v>2.6</c:v>
                </c:pt>
                <c:pt idx="90">
                  <c:v>2.6</c:v>
                </c:pt>
                <c:pt idx="91">
                  <c:v>2.6</c:v>
                </c:pt>
                <c:pt idx="92">
                  <c:v>2.6</c:v>
                </c:pt>
                <c:pt idx="93">
                  <c:v>2.6</c:v>
                </c:pt>
                <c:pt idx="94">
                  <c:v>2.6</c:v>
                </c:pt>
                <c:pt idx="95">
                  <c:v>2.6</c:v>
                </c:pt>
                <c:pt idx="96">
                  <c:v>2.6</c:v>
                </c:pt>
                <c:pt idx="97">
                  <c:v>2.7</c:v>
                </c:pt>
                <c:pt idx="98">
                  <c:v>2.7</c:v>
                </c:pt>
                <c:pt idx="99">
                  <c:v>2.7</c:v>
                </c:pt>
                <c:pt idx="100">
                  <c:v>2.7</c:v>
                </c:pt>
                <c:pt idx="101">
                  <c:v>2.7</c:v>
                </c:pt>
                <c:pt idx="102">
                  <c:v>2.7</c:v>
                </c:pt>
                <c:pt idx="103">
                  <c:v>2.7</c:v>
                </c:pt>
                <c:pt idx="104">
                  <c:v>2.7</c:v>
                </c:pt>
                <c:pt idx="105">
                  <c:v>2.7</c:v>
                </c:pt>
                <c:pt idx="106">
                  <c:v>2.7</c:v>
                </c:pt>
                <c:pt idx="107">
                  <c:v>2.7</c:v>
                </c:pt>
                <c:pt idx="108">
                  <c:v>2.7</c:v>
                </c:pt>
                <c:pt idx="109">
                  <c:v>2.7</c:v>
                </c:pt>
                <c:pt idx="110">
                  <c:v>2.7</c:v>
                </c:pt>
                <c:pt idx="111">
                  <c:v>2.7</c:v>
                </c:pt>
                <c:pt idx="112">
                  <c:v>2.7</c:v>
                </c:pt>
                <c:pt idx="113">
                  <c:v>2.7</c:v>
                </c:pt>
                <c:pt idx="114">
                  <c:v>2.7</c:v>
                </c:pt>
                <c:pt idx="115">
                  <c:v>2.7</c:v>
                </c:pt>
                <c:pt idx="116">
                  <c:v>2.8</c:v>
                </c:pt>
                <c:pt idx="117">
                  <c:v>2.8</c:v>
                </c:pt>
                <c:pt idx="118">
                  <c:v>2.8</c:v>
                </c:pt>
                <c:pt idx="119">
                  <c:v>2.8</c:v>
                </c:pt>
                <c:pt idx="120">
                  <c:v>2.8</c:v>
                </c:pt>
                <c:pt idx="121">
                  <c:v>2.8</c:v>
                </c:pt>
                <c:pt idx="122">
                  <c:v>2.8</c:v>
                </c:pt>
                <c:pt idx="123">
                  <c:v>2.8</c:v>
                </c:pt>
                <c:pt idx="124">
                  <c:v>2.8</c:v>
                </c:pt>
                <c:pt idx="125">
                  <c:v>2.8</c:v>
                </c:pt>
                <c:pt idx="126">
                  <c:v>2.8</c:v>
                </c:pt>
                <c:pt idx="127">
                  <c:v>2.8</c:v>
                </c:pt>
                <c:pt idx="128">
                  <c:v>2.9</c:v>
                </c:pt>
                <c:pt idx="129">
                  <c:v>2.9</c:v>
                </c:pt>
                <c:pt idx="130">
                  <c:v>2.9</c:v>
                </c:pt>
                <c:pt idx="131">
                  <c:v>2.9</c:v>
                </c:pt>
                <c:pt idx="132">
                  <c:v>2.9</c:v>
                </c:pt>
                <c:pt idx="133">
                  <c:v>2.9</c:v>
                </c:pt>
                <c:pt idx="134">
                  <c:v>2.9</c:v>
                </c:pt>
                <c:pt idx="135">
                  <c:v>2.9</c:v>
                </c:pt>
                <c:pt idx="136">
                  <c:v>2.9</c:v>
                </c:pt>
                <c:pt idx="137">
                  <c:v>2.9</c:v>
                </c:pt>
                <c:pt idx="138">
                  <c:v>3</c:v>
                </c:pt>
                <c:pt idx="139">
                  <c:v>3</c:v>
                </c:pt>
                <c:pt idx="140">
                  <c:v>3</c:v>
                </c:pt>
                <c:pt idx="141">
                  <c:v>3</c:v>
                </c:pt>
                <c:pt idx="142">
                  <c:v>3</c:v>
                </c:pt>
                <c:pt idx="143">
                  <c:v>3</c:v>
                </c:pt>
                <c:pt idx="144">
                  <c:v>3</c:v>
                </c:pt>
                <c:pt idx="145">
                  <c:v>3</c:v>
                </c:pt>
                <c:pt idx="146">
                  <c:v>3</c:v>
                </c:pt>
                <c:pt idx="147">
                  <c:v>3.1</c:v>
                </c:pt>
                <c:pt idx="148">
                  <c:v>3.1</c:v>
                </c:pt>
                <c:pt idx="149">
                  <c:v>3.1</c:v>
                </c:pt>
                <c:pt idx="150">
                  <c:v>3.1</c:v>
                </c:pt>
                <c:pt idx="151">
                  <c:v>3.1</c:v>
                </c:pt>
                <c:pt idx="152">
                  <c:v>3.1</c:v>
                </c:pt>
                <c:pt idx="153">
                  <c:v>3.1</c:v>
                </c:pt>
                <c:pt idx="154">
                  <c:v>3.1</c:v>
                </c:pt>
                <c:pt idx="155">
                  <c:v>3.1</c:v>
                </c:pt>
                <c:pt idx="156">
                  <c:v>3.1</c:v>
                </c:pt>
                <c:pt idx="157">
                  <c:v>3.1</c:v>
                </c:pt>
                <c:pt idx="158">
                  <c:v>3.1</c:v>
                </c:pt>
                <c:pt idx="159">
                  <c:v>3.1</c:v>
                </c:pt>
                <c:pt idx="160">
                  <c:v>3.1</c:v>
                </c:pt>
                <c:pt idx="161">
                  <c:v>3.2</c:v>
                </c:pt>
                <c:pt idx="162">
                  <c:v>3.2</c:v>
                </c:pt>
                <c:pt idx="163">
                  <c:v>3.2</c:v>
                </c:pt>
                <c:pt idx="164">
                  <c:v>3.2</c:v>
                </c:pt>
                <c:pt idx="165">
                  <c:v>3.2</c:v>
                </c:pt>
                <c:pt idx="166">
                  <c:v>3.2</c:v>
                </c:pt>
                <c:pt idx="167">
                  <c:v>3.2</c:v>
                </c:pt>
                <c:pt idx="168">
                  <c:v>3.2</c:v>
                </c:pt>
                <c:pt idx="169">
                  <c:v>3.2</c:v>
                </c:pt>
                <c:pt idx="170">
                  <c:v>3.2</c:v>
                </c:pt>
                <c:pt idx="171">
                  <c:v>3.2</c:v>
                </c:pt>
                <c:pt idx="172">
                  <c:v>3.2</c:v>
                </c:pt>
                <c:pt idx="173">
                  <c:v>3.3</c:v>
                </c:pt>
                <c:pt idx="174">
                  <c:v>3.3</c:v>
                </c:pt>
                <c:pt idx="175">
                  <c:v>3.3</c:v>
                </c:pt>
                <c:pt idx="176">
                  <c:v>3.3</c:v>
                </c:pt>
                <c:pt idx="177">
                  <c:v>3.3</c:v>
                </c:pt>
                <c:pt idx="178">
                  <c:v>3.3</c:v>
                </c:pt>
                <c:pt idx="179">
                  <c:v>3.3</c:v>
                </c:pt>
                <c:pt idx="180">
                  <c:v>3.3</c:v>
                </c:pt>
                <c:pt idx="181">
                  <c:v>3.3</c:v>
                </c:pt>
                <c:pt idx="182">
                  <c:v>3.4</c:v>
                </c:pt>
                <c:pt idx="183">
                  <c:v>3.4</c:v>
                </c:pt>
                <c:pt idx="184">
                  <c:v>3.4</c:v>
                </c:pt>
                <c:pt idx="185">
                  <c:v>3.4</c:v>
                </c:pt>
                <c:pt idx="186">
                  <c:v>3.4</c:v>
                </c:pt>
                <c:pt idx="187">
                  <c:v>3.4</c:v>
                </c:pt>
                <c:pt idx="188">
                  <c:v>3.4</c:v>
                </c:pt>
                <c:pt idx="189">
                  <c:v>3.4</c:v>
                </c:pt>
                <c:pt idx="190">
                  <c:v>3.4</c:v>
                </c:pt>
                <c:pt idx="191">
                  <c:v>3.4</c:v>
                </c:pt>
                <c:pt idx="192">
                  <c:v>3.4</c:v>
                </c:pt>
                <c:pt idx="193">
                  <c:v>3.4</c:v>
                </c:pt>
                <c:pt idx="194">
                  <c:v>3.4</c:v>
                </c:pt>
                <c:pt idx="195">
                  <c:v>3.4</c:v>
                </c:pt>
                <c:pt idx="196">
                  <c:v>3.4</c:v>
                </c:pt>
                <c:pt idx="197">
                  <c:v>3.4</c:v>
                </c:pt>
                <c:pt idx="198">
                  <c:v>3.4</c:v>
                </c:pt>
                <c:pt idx="199">
                  <c:v>3.4</c:v>
                </c:pt>
                <c:pt idx="200">
                  <c:v>3.5</c:v>
                </c:pt>
                <c:pt idx="201">
                  <c:v>3.5</c:v>
                </c:pt>
                <c:pt idx="202">
                  <c:v>3.5</c:v>
                </c:pt>
                <c:pt idx="203">
                  <c:v>3.5</c:v>
                </c:pt>
                <c:pt idx="204">
                  <c:v>3.5</c:v>
                </c:pt>
                <c:pt idx="205">
                  <c:v>3.5</c:v>
                </c:pt>
                <c:pt idx="206">
                  <c:v>3.5</c:v>
                </c:pt>
                <c:pt idx="207">
                  <c:v>3.5</c:v>
                </c:pt>
                <c:pt idx="208">
                  <c:v>3.5</c:v>
                </c:pt>
                <c:pt idx="209">
                  <c:v>3.5</c:v>
                </c:pt>
                <c:pt idx="210">
                  <c:v>3.6</c:v>
                </c:pt>
                <c:pt idx="211">
                  <c:v>3.6</c:v>
                </c:pt>
                <c:pt idx="212">
                  <c:v>3.6</c:v>
                </c:pt>
                <c:pt idx="213">
                  <c:v>3.6</c:v>
                </c:pt>
                <c:pt idx="214">
                  <c:v>3.6</c:v>
                </c:pt>
                <c:pt idx="215">
                  <c:v>3.6</c:v>
                </c:pt>
                <c:pt idx="216">
                  <c:v>3.6</c:v>
                </c:pt>
                <c:pt idx="217">
                  <c:v>3.6</c:v>
                </c:pt>
                <c:pt idx="218">
                  <c:v>3.6</c:v>
                </c:pt>
                <c:pt idx="219">
                  <c:v>3.6</c:v>
                </c:pt>
                <c:pt idx="220">
                  <c:v>3.7</c:v>
                </c:pt>
                <c:pt idx="221">
                  <c:v>3.7</c:v>
                </c:pt>
                <c:pt idx="222">
                  <c:v>3.7</c:v>
                </c:pt>
                <c:pt idx="223">
                  <c:v>3.7</c:v>
                </c:pt>
                <c:pt idx="224">
                  <c:v>3.7</c:v>
                </c:pt>
                <c:pt idx="225">
                  <c:v>3.7</c:v>
                </c:pt>
                <c:pt idx="226">
                  <c:v>3.7</c:v>
                </c:pt>
                <c:pt idx="227">
                  <c:v>3.7</c:v>
                </c:pt>
                <c:pt idx="228">
                  <c:v>3.7</c:v>
                </c:pt>
                <c:pt idx="229">
                  <c:v>3.7</c:v>
                </c:pt>
                <c:pt idx="230">
                  <c:v>3.7</c:v>
                </c:pt>
                <c:pt idx="231">
                  <c:v>3.7</c:v>
                </c:pt>
                <c:pt idx="232">
                  <c:v>3.8</c:v>
                </c:pt>
                <c:pt idx="233">
                  <c:v>3.8</c:v>
                </c:pt>
                <c:pt idx="234">
                  <c:v>3.8</c:v>
                </c:pt>
                <c:pt idx="235">
                  <c:v>3.8</c:v>
                </c:pt>
                <c:pt idx="236">
                  <c:v>3.8</c:v>
                </c:pt>
                <c:pt idx="237">
                  <c:v>3.8</c:v>
                </c:pt>
                <c:pt idx="238">
                  <c:v>3.8</c:v>
                </c:pt>
                <c:pt idx="239">
                  <c:v>3.8</c:v>
                </c:pt>
                <c:pt idx="240">
                  <c:v>3.8</c:v>
                </c:pt>
                <c:pt idx="241">
                  <c:v>3.9</c:v>
                </c:pt>
                <c:pt idx="242">
                  <c:v>3.9</c:v>
                </c:pt>
                <c:pt idx="243">
                  <c:v>3.9</c:v>
                </c:pt>
                <c:pt idx="244">
                  <c:v>3.9</c:v>
                </c:pt>
                <c:pt idx="245">
                  <c:v>3.9</c:v>
                </c:pt>
                <c:pt idx="246">
                  <c:v>3.9</c:v>
                </c:pt>
                <c:pt idx="247">
                  <c:v>3.9</c:v>
                </c:pt>
                <c:pt idx="248">
                  <c:v>4</c:v>
                </c:pt>
                <c:pt idx="249">
                  <c:v>4</c:v>
                </c:pt>
                <c:pt idx="250">
                  <c:v>4</c:v>
                </c:pt>
                <c:pt idx="251">
                  <c:v>4</c:v>
                </c:pt>
                <c:pt idx="252">
                  <c:v>4</c:v>
                </c:pt>
                <c:pt idx="253">
                  <c:v>4</c:v>
                </c:pt>
                <c:pt idx="254">
                  <c:v>4</c:v>
                </c:pt>
                <c:pt idx="255">
                  <c:v>4</c:v>
                </c:pt>
                <c:pt idx="256">
                  <c:v>4</c:v>
                </c:pt>
                <c:pt idx="257">
                  <c:v>4.1</c:v>
                </c:pt>
                <c:pt idx="258">
                  <c:v>4.1</c:v>
                </c:pt>
                <c:pt idx="259">
                  <c:v>4.1</c:v>
                </c:pt>
                <c:pt idx="260">
                  <c:v>4.1</c:v>
                </c:pt>
                <c:pt idx="261">
                  <c:v>4.1</c:v>
                </c:pt>
                <c:pt idx="262">
                  <c:v>4.1</c:v>
                </c:pt>
                <c:pt idx="263">
                  <c:v>4.1</c:v>
                </c:pt>
                <c:pt idx="264">
                  <c:v>4.1</c:v>
                </c:pt>
                <c:pt idx="265">
                  <c:v>4.2</c:v>
                </c:pt>
                <c:pt idx="266">
                  <c:v>4.2</c:v>
                </c:pt>
                <c:pt idx="267">
                  <c:v>4.2</c:v>
                </c:pt>
                <c:pt idx="268">
                  <c:v>4.2</c:v>
                </c:pt>
                <c:pt idx="269">
                  <c:v>4.2</c:v>
                </c:pt>
                <c:pt idx="270">
                  <c:v>4.2</c:v>
                </c:pt>
                <c:pt idx="271">
                  <c:v>4.2</c:v>
                </c:pt>
                <c:pt idx="272">
                  <c:v>4.2</c:v>
                </c:pt>
                <c:pt idx="273">
                  <c:v>4.3</c:v>
                </c:pt>
                <c:pt idx="274">
                  <c:v>4.3</c:v>
                </c:pt>
                <c:pt idx="275">
                  <c:v>4.3</c:v>
                </c:pt>
                <c:pt idx="276">
                  <c:v>4.3</c:v>
                </c:pt>
                <c:pt idx="277">
                  <c:v>4.3</c:v>
                </c:pt>
                <c:pt idx="278">
                  <c:v>4.3</c:v>
                </c:pt>
                <c:pt idx="279">
                  <c:v>4.3</c:v>
                </c:pt>
                <c:pt idx="280">
                  <c:v>4.3</c:v>
                </c:pt>
                <c:pt idx="281">
                  <c:v>4.3</c:v>
                </c:pt>
                <c:pt idx="282">
                  <c:v>4.3</c:v>
                </c:pt>
                <c:pt idx="283">
                  <c:v>4.3</c:v>
                </c:pt>
                <c:pt idx="284">
                  <c:v>4.3</c:v>
                </c:pt>
                <c:pt idx="285">
                  <c:v>4.4</c:v>
                </c:pt>
                <c:pt idx="286">
                  <c:v>4.4</c:v>
                </c:pt>
                <c:pt idx="287">
                  <c:v>4.4</c:v>
                </c:pt>
                <c:pt idx="288">
                  <c:v>4.4</c:v>
                </c:pt>
                <c:pt idx="289">
                  <c:v>4.4</c:v>
                </c:pt>
                <c:pt idx="290">
                  <c:v>4.4</c:v>
                </c:pt>
                <c:pt idx="291">
                  <c:v>4.4</c:v>
                </c:pt>
                <c:pt idx="292">
                  <c:v>4.4</c:v>
                </c:pt>
                <c:pt idx="293">
                  <c:v>4.5</c:v>
                </c:pt>
                <c:pt idx="294">
                  <c:v>4.5</c:v>
                </c:pt>
                <c:pt idx="295">
                  <c:v>4.5</c:v>
                </c:pt>
                <c:pt idx="296">
                  <c:v>4.5</c:v>
                </c:pt>
                <c:pt idx="297">
                  <c:v>4.5</c:v>
                </c:pt>
                <c:pt idx="298">
                  <c:v>4.5</c:v>
                </c:pt>
                <c:pt idx="299">
                  <c:v>4.5</c:v>
                </c:pt>
                <c:pt idx="300">
                  <c:v>4.5</c:v>
                </c:pt>
                <c:pt idx="301">
                  <c:v>4.5</c:v>
                </c:pt>
                <c:pt idx="302">
                  <c:v>4.5</c:v>
                </c:pt>
                <c:pt idx="303">
                  <c:v>4.5</c:v>
                </c:pt>
                <c:pt idx="304">
                  <c:v>4.6</c:v>
                </c:pt>
                <c:pt idx="305">
                  <c:v>4.6</c:v>
                </c:pt>
                <c:pt idx="306">
                  <c:v>4.6</c:v>
                </c:pt>
                <c:pt idx="307">
                  <c:v>4.6</c:v>
                </c:pt>
                <c:pt idx="308">
                  <c:v>4.7</c:v>
                </c:pt>
                <c:pt idx="309">
                  <c:v>4.7</c:v>
                </c:pt>
                <c:pt idx="310">
                  <c:v>4.7</c:v>
                </c:pt>
                <c:pt idx="311">
                  <c:v>4.7</c:v>
                </c:pt>
                <c:pt idx="312">
                  <c:v>4.7</c:v>
                </c:pt>
                <c:pt idx="313">
                  <c:v>4.7</c:v>
                </c:pt>
                <c:pt idx="314">
                  <c:v>4.7</c:v>
                </c:pt>
                <c:pt idx="315">
                  <c:v>4.7</c:v>
                </c:pt>
                <c:pt idx="316">
                  <c:v>4.7</c:v>
                </c:pt>
                <c:pt idx="317">
                  <c:v>4.7</c:v>
                </c:pt>
                <c:pt idx="318">
                  <c:v>4.7</c:v>
                </c:pt>
                <c:pt idx="319">
                  <c:v>4.8</c:v>
                </c:pt>
                <c:pt idx="320">
                  <c:v>4.8</c:v>
                </c:pt>
                <c:pt idx="321">
                  <c:v>4.8</c:v>
                </c:pt>
                <c:pt idx="322">
                  <c:v>4.8</c:v>
                </c:pt>
                <c:pt idx="323">
                  <c:v>4.8</c:v>
                </c:pt>
                <c:pt idx="324">
                  <c:v>4.8</c:v>
                </c:pt>
                <c:pt idx="325">
                  <c:v>4.8</c:v>
                </c:pt>
                <c:pt idx="326">
                  <c:v>4.8</c:v>
                </c:pt>
                <c:pt idx="327">
                  <c:v>4.9</c:v>
                </c:pt>
                <c:pt idx="328">
                  <c:v>4.9</c:v>
                </c:pt>
                <c:pt idx="329">
                  <c:v>4.9</c:v>
                </c:pt>
                <c:pt idx="330">
                  <c:v>4.9</c:v>
                </c:pt>
                <c:pt idx="331">
                  <c:v>4.9</c:v>
                </c:pt>
                <c:pt idx="332">
                  <c:v>4.9</c:v>
                </c:pt>
                <c:pt idx="333">
                  <c:v>4.9</c:v>
                </c:pt>
                <c:pt idx="334">
                  <c:v>4.9</c:v>
                </c:pt>
                <c:pt idx="335">
                  <c:v>4.9</c:v>
                </c:pt>
                <c:pt idx="336">
                  <c:v>4.9</c:v>
                </c:pt>
                <c:pt idx="337">
                  <c:v>4.9</c:v>
                </c:pt>
                <c:pt idx="338">
                  <c:v>4.9</c:v>
                </c:pt>
                <c:pt idx="339">
                  <c:v>5</c:v>
                </c:pt>
                <c:pt idx="340">
                  <c:v>5</c:v>
                </c:pt>
                <c:pt idx="341">
                  <c:v>5</c:v>
                </c:pt>
                <c:pt idx="342">
                  <c:v>5</c:v>
                </c:pt>
                <c:pt idx="343">
                  <c:v>5</c:v>
                </c:pt>
                <c:pt idx="344">
                  <c:v>5</c:v>
                </c:pt>
                <c:pt idx="345">
                  <c:v>5</c:v>
                </c:pt>
                <c:pt idx="346">
                  <c:v>5</c:v>
                </c:pt>
                <c:pt idx="347">
                  <c:v>5</c:v>
                </c:pt>
                <c:pt idx="348">
                  <c:v>5</c:v>
                </c:pt>
                <c:pt idx="349">
                  <c:v>5.1</c:v>
                </c:pt>
                <c:pt idx="350">
                  <c:v>5.1</c:v>
                </c:pt>
                <c:pt idx="351">
                  <c:v>5.1</c:v>
                </c:pt>
                <c:pt idx="352">
                  <c:v>5.1</c:v>
                </c:pt>
                <c:pt idx="353">
                  <c:v>5.1</c:v>
                </c:pt>
                <c:pt idx="354">
                  <c:v>5.1</c:v>
                </c:pt>
                <c:pt idx="355">
                  <c:v>5.1</c:v>
                </c:pt>
                <c:pt idx="356">
                  <c:v>5.1</c:v>
                </c:pt>
                <c:pt idx="357">
                  <c:v>5.1</c:v>
                </c:pt>
                <c:pt idx="358">
                  <c:v>5.1</c:v>
                </c:pt>
                <c:pt idx="359">
                  <c:v>5.1</c:v>
                </c:pt>
                <c:pt idx="360">
                  <c:v>5.1</c:v>
                </c:pt>
                <c:pt idx="361">
                  <c:v>5.2</c:v>
                </c:pt>
                <c:pt idx="362">
                  <c:v>5.2</c:v>
                </c:pt>
                <c:pt idx="363">
                  <c:v>5.2</c:v>
                </c:pt>
                <c:pt idx="364">
                  <c:v>5.2</c:v>
                </c:pt>
                <c:pt idx="365">
                  <c:v>5.2</c:v>
                </c:pt>
                <c:pt idx="366">
                  <c:v>5.2</c:v>
                </c:pt>
                <c:pt idx="367">
                  <c:v>5.2</c:v>
                </c:pt>
                <c:pt idx="368">
                  <c:v>5.2</c:v>
                </c:pt>
                <c:pt idx="369">
                  <c:v>5.2</c:v>
                </c:pt>
                <c:pt idx="370">
                  <c:v>5.3</c:v>
                </c:pt>
                <c:pt idx="371">
                  <c:v>5.3</c:v>
                </c:pt>
                <c:pt idx="372">
                  <c:v>5.3</c:v>
                </c:pt>
                <c:pt idx="373">
                  <c:v>5.3</c:v>
                </c:pt>
                <c:pt idx="374">
                  <c:v>5.3</c:v>
                </c:pt>
                <c:pt idx="375">
                  <c:v>5.3</c:v>
                </c:pt>
                <c:pt idx="376">
                  <c:v>5.3</c:v>
                </c:pt>
                <c:pt idx="377">
                  <c:v>5.4</c:v>
                </c:pt>
                <c:pt idx="378">
                  <c:v>5.4</c:v>
                </c:pt>
                <c:pt idx="379">
                  <c:v>5.4</c:v>
                </c:pt>
                <c:pt idx="380">
                  <c:v>5.4</c:v>
                </c:pt>
                <c:pt idx="381">
                  <c:v>5.4</c:v>
                </c:pt>
                <c:pt idx="382">
                  <c:v>5.4</c:v>
                </c:pt>
                <c:pt idx="383">
                  <c:v>5.4</c:v>
                </c:pt>
                <c:pt idx="384">
                  <c:v>5.4</c:v>
                </c:pt>
                <c:pt idx="385">
                  <c:v>5.4</c:v>
                </c:pt>
                <c:pt idx="386">
                  <c:v>5.4</c:v>
                </c:pt>
                <c:pt idx="387">
                  <c:v>5.5</c:v>
                </c:pt>
                <c:pt idx="388">
                  <c:v>5.5</c:v>
                </c:pt>
                <c:pt idx="389">
                  <c:v>5.5</c:v>
                </c:pt>
                <c:pt idx="390">
                  <c:v>5.5</c:v>
                </c:pt>
                <c:pt idx="391">
                  <c:v>5.5</c:v>
                </c:pt>
                <c:pt idx="392">
                  <c:v>5.5</c:v>
                </c:pt>
                <c:pt idx="393">
                  <c:v>5.5</c:v>
                </c:pt>
                <c:pt idx="394">
                  <c:v>5.5</c:v>
                </c:pt>
                <c:pt idx="395">
                  <c:v>5.5</c:v>
                </c:pt>
                <c:pt idx="396">
                  <c:v>5.5</c:v>
                </c:pt>
                <c:pt idx="397">
                  <c:v>5.6</c:v>
                </c:pt>
                <c:pt idx="398">
                  <c:v>5.6</c:v>
                </c:pt>
                <c:pt idx="399">
                  <c:v>5.6</c:v>
                </c:pt>
                <c:pt idx="400">
                  <c:v>5.6</c:v>
                </c:pt>
                <c:pt idx="401">
                  <c:v>5.6</c:v>
                </c:pt>
                <c:pt idx="402">
                  <c:v>5.6</c:v>
                </c:pt>
                <c:pt idx="403">
                  <c:v>5.6</c:v>
                </c:pt>
                <c:pt idx="404">
                  <c:v>5.7</c:v>
                </c:pt>
                <c:pt idx="405">
                  <c:v>5.7</c:v>
                </c:pt>
                <c:pt idx="406">
                  <c:v>5.7</c:v>
                </c:pt>
                <c:pt idx="407">
                  <c:v>5.8</c:v>
                </c:pt>
                <c:pt idx="408">
                  <c:v>5.8</c:v>
                </c:pt>
                <c:pt idx="409">
                  <c:v>5.8</c:v>
                </c:pt>
                <c:pt idx="410">
                  <c:v>5.8</c:v>
                </c:pt>
                <c:pt idx="411">
                  <c:v>5.8</c:v>
                </c:pt>
                <c:pt idx="412">
                  <c:v>5.9</c:v>
                </c:pt>
                <c:pt idx="413">
                  <c:v>5.9</c:v>
                </c:pt>
                <c:pt idx="414">
                  <c:v>5.9</c:v>
                </c:pt>
                <c:pt idx="415">
                  <c:v>5.9</c:v>
                </c:pt>
                <c:pt idx="416">
                  <c:v>5.9</c:v>
                </c:pt>
                <c:pt idx="417">
                  <c:v>5.9</c:v>
                </c:pt>
                <c:pt idx="418">
                  <c:v>6</c:v>
                </c:pt>
                <c:pt idx="419">
                  <c:v>6</c:v>
                </c:pt>
                <c:pt idx="420">
                  <c:v>6</c:v>
                </c:pt>
                <c:pt idx="421">
                  <c:v>6.1</c:v>
                </c:pt>
                <c:pt idx="422">
                  <c:v>6.2</c:v>
                </c:pt>
                <c:pt idx="423">
                  <c:v>6.2</c:v>
                </c:pt>
                <c:pt idx="424">
                  <c:v>6.2</c:v>
                </c:pt>
                <c:pt idx="425">
                  <c:v>6.3</c:v>
                </c:pt>
                <c:pt idx="426">
                  <c:v>6.3</c:v>
                </c:pt>
                <c:pt idx="427">
                  <c:v>6.3</c:v>
                </c:pt>
                <c:pt idx="428">
                  <c:v>6.3</c:v>
                </c:pt>
                <c:pt idx="429">
                  <c:v>6.3</c:v>
                </c:pt>
                <c:pt idx="430">
                  <c:v>6.3</c:v>
                </c:pt>
                <c:pt idx="431">
                  <c:v>6.3</c:v>
                </c:pt>
                <c:pt idx="432">
                  <c:v>6.3</c:v>
                </c:pt>
                <c:pt idx="433">
                  <c:v>6.4</c:v>
                </c:pt>
                <c:pt idx="434">
                  <c:v>6.4</c:v>
                </c:pt>
                <c:pt idx="435">
                  <c:v>6.4</c:v>
                </c:pt>
                <c:pt idx="436">
                  <c:v>6.4</c:v>
                </c:pt>
                <c:pt idx="437">
                  <c:v>6.4</c:v>
                </c:pt>
                <c:pt idx="438">
                  <c:v>6.4</c:v>
                </c:pt>
                <c:pt idx="439">
                  <c:v>6.4</c:v>
                </c:pt>
                <c:pt idx="440">
                  <c:v>6.4</c:v>
                </c:pt>
                <c:pt idx="441">
                  <c:v>6.4</c:v>
                </c:pt>
                <c:pt idx="442">
                  <c:v>6.4</c:v>
                </c:pt>
                <c:pt idx="443">
                  <c:v>6.4</c:v>
                </c:pt>
                <c:pt idx="444">
                  <c:v>6.5</c:v>
                </c:pt>
                <c:pt idx="445">
                  <c:v>6.5</c:v>
                </c:pt>
                <c:pt idx="446">
                  <c:v>6.5</c:v>
                </c:pt>
                <c:pt idx="447">
                  <c:v>6.5</c:v>
                </c:pt>
                <c:pt idx="448">
                  <c:v>6.5</c:v>
                </c:pt>
                <c:pt idx="449">
                  <c:v>6.5</c:v>
                </c:pt>
                <c:pt idx="450">
                  <c:v>6.5</c:v>
                </c:pt>
                <c:pt idx="451">
                  <c:v>6.5</c:v>
                </c:pt>
                <c:pt idx="452">
                  <c:v>6.5</c:v>
                </c:pt>
                <c:pt idx="453">
                  <c:v>6.6</c:v>
                </c:pt>
                <c:pt idx="454">
                  <c:v>6.6</c:v>
                </c:pt>
                <c:pt idx="455">
                  <c:v>6.6</c:v>
                </c:pt>
                <c:pt idx="456">
                  <c:v>6.6</c:v>
                </c:pt>
                <c:pt idx="457">
                  <c:v>6.6</c:v>
                </c:pt>
                <c:pt idx="458">
                  <c:v>6.6</c:v>
                </c:pt>
                <c:pt idx="459">
                  <c:v>6.6</c:v>
                </c:pt>
                <c:pt idx="460">
                  <c:v>6.6</c:v>
                </c:pt>
                <c:pt idx="461">
                  <c:v>6.6</c:v>
                </c:pt>
                <c:pt idx="462">
                  <c:v>6.6</c:v>
                </c:pt>
                <c:pt idx="463">
                  <c:v>6.7</c:v>
                </c:pt>
                <c:pt idx="464">
                  <c:v>6.7</c:v>
                </c:pt>
                <c:pt idx="465">
                  <c:v>6.7</c:v>
                </c:pt>
                <c:pt idx="466">
                  <c:v>6.8</c:v>
                </c:pt>
                <c:pt idx="467">
                  <c:v>6.8</c:v>
                </c:pt>
                <c:pt idx="468">
                  <c:v>6.8</c:v>
                </c:pt>
                <c:pt idx="469">
                  <c:v>6.8</c:v>
                </c:pt>
                <c:pt idx="470">
                  <c:v>6.8</c:v>
                </c:pt>
                <c:pt idx="471">
                  <c:v>6.8</c:v>
                </c:pt>
                <c:pt idx="472">
                  <c:v>6.8</c:v>
                </c:pt>
                <c:pt idx="473">
                  <c:v>6.8</c:v>
                </c:pt>
                <c:pt idx="474">
                  <c:v>6.8</c:v>
                </c:pt>
                <c:pt idx="475">
                  <c:v>6.8</c:v>
                </c:pt>
                <c:pt idx="476">
                  <c:v>6.9</c:v>
                </c:pt>
                <c:pt idx="477">
                  <c:v>6.9</c:v>
                </c:pt>
                <c:pt idx="478">
                  <c:v>6.9</c:v>
                </c:pt>
                <c:pt idx="479">
                  <c:v>6.9</c:v>
                </c:pt>
                <c:pt idx="480">
                  <c:v>6.9</c:v>
                </c:pt>
                <c:pt idx="481">
                  <c:v>7</c:v>
                </c:pt>
                <c:pt idx="482">
                  <c:v>7.1</c:v>
                </c:pt>
                <c:pt idx="483">
                  <c:v>7.1</c:v>
                </c:pt>
                <c:pt idx="484">
                  <c:v>7.1</c:v>
                </c:pt>
                <c:pt idx="485">
                  <c:v>7.1</c:v>
                </c:pt>
                <c:pt idx="486">
                  <c:v>7.1</c:v>
                </c:pt>
                <c:pt idx="487">
                  <c:v>7.1</c:v>
                </c:pt>
                <c:pt idx="488">
                  <c:v>7.2</c:v>
                </c:pt>
                <c:pt idx="489">
                  <c:v>7.2</c:v>
                </c:pt>
                <c:pt idx="490">
                  <c:v>7.2</c:v>
                </c:pt>
                <c:pt idx="491">
                  <c:v>7.2</c:v>
                </c:pt>
                <c:pt idx="492">
                  <c:v>7.2</c:v>
                </c:pt>
                <c:pt idx="493">
                  <c:v>7.2</c:v>
                </c:pt>
                <c:pt idx="494">
                  <c:v>7.3</c:v>
                </c:pt>
                <c:pt idx="495">
                  <c:v>7.3</c:v>
                </c:pt>
                <c:pt idx="496">
                  <c:v>7.3</c:v>
                </c:pt>
                <c:pt idx="497">
                  <c:v>7.3</c:v>
                </c:pt>
                <c:pt idx="498">
                  <c:v>7.3</c:v>
                </c:pt>
                <c:pt idx="499">
                  <c:v>7.3</c:v>
                </c:pt>
                <c:pt idx="500">
                  <c:v>7.4</c:v>
                </c:pt>
                <c:pt idx="501">
                  <c:v>7.4</c:v>
                </c:pt>
                <c:pt idx="502">
                  <c:v>7.4</c:v>
                </c:pt>
                <c:pt idx="503">
                  <c:v>7.4</c:v>
                </c:pt>
                <c:pt idx="504">
                  <c:v>7.4</c:v>
                </c:pt>
                <c:pt idx="505">
                  <c:v>7.4</c:v>
                </c:pt>
                <c:pt idx="506">
                  <c:v>7.4</c:v>
                </c:pt>
                <c:pt idx="507">
                  <c:v>7.5</c:v>
                </c:pt>
                <c:pt idx="508">
                  <c:v>7.5</c:v>
                </c:pt>
                <c:pt idx="509">
                  <c:v>7.5</c:v>
                </c:pt>
                <c:pt idx="510">
                  <c:v>7.5</c:v>
                </c:pt>
                <c:pt idx="511">
                  <c:v>7.5</c:v>
                </c:pt>
                <c:pt idx="512">
                  <c:v>7.5</c:v>
                </c:pt>
                <c:pt idx="513">
                  <c:v>7.5</c:v>
                </c:pt>
                <c:pt idx="514">
                  <c:v>7.6</c:v>
                </c:pt>
                <c:pt idx="515">
                  <c:v>7.6</c:v>
                </c:pt>
                <c:pt idx="516">
                  <c:v>7.6</c:v>
                </c:pt>
                <c:pt idx="517">
                  <c:v>7.6</c:v>
                </c:pt>
                <c:pt idx="518">
                  <c:v>7.6</c:v>
                </c:pt>
                <c:pt idx="519">
                  <c:v>7.6</c:v>
                </c:pt>
                <c:pt idx="520">
                  <c:v>7.6</c:v>
                </c:pt>
                <c:pt idx="521">
                  <c:v>7.6</c:v>
                </c:pt>
                <c:pt idx="522">
                  <c:v>7.6</c:v>
                </c:pt>
                <c:pt idx="523">
                  <c:v>7.6</c:v>
                </c:pt>
                <c:pt idx="524">
                  <c:v>7.7</c:v>
                </c:pt>
                <c:pt idx="525">
                  <c:v>7.7</c:v>
                </c:pt>
                <c:pt idx="526">
                  <c:v>7.7</c:v>
                </c:pt>
                <c:pt idx="527">
                  <c:v>7.7</c:v>
                </c:pt>
                <c:pt idx="528">
                  <c:v>7.7</c:v>
                </c:pt>
                <c:pt idx="529">
                  <c:v>7.7</c:v>
                </c:pt>
                <c:pt idx="530">
                  <c:v>7.7</c:v>
                </c:pt>
                <c:pt idx="531">
                  <c:v>7.7</c:v>
                </c:pt>
                <c:pt idx="532">
                  <c:v>7.8</c:v>
                </c:pt>
                <c:pt idx="533">
                  <c:v>7.8</c:v>
                </c:pt>
                <c:pt idx="534">
                  <c:v>7.8</c:v>
                </c:pt>
                <c:pt idx="535">
                  <c:v>7.8</c:v>
                </c:pt>
                <c:pt idx="536">
                  <c:v>7.8</c:v>
                </c:pt>
                <c:pt idx="537">
                  <c:v>7.9</c:v>
                </c:pt>
                <c:pt idx="538">
                  <c:v>7.9</c:v>
                </c:pt>
                <c:pt idx="539">
                  <c:v>8</c:v>
                </c:pt>
                <c:pt idx="540">
                  <c:v>8</c:v>
                </c:pt>
                <c:pt idx="541">
                  <c:v>8</c:v>
                </c:pt>
                <c:pt idx="542">
                  <c:v>8.1</c:v>
                </c:pt>
                <c:pt idx="543">
                  <c:v>8.2</c:v>
                </c:pt>
                <c:pt idx="544">
                  <c:v>8.2</c:v>
                </c:pt>
                <c:pt idx="545">
                  <c:v>8.2</c:v>
                </c:pt>
                <c:pt idx="546">
                  <c:v>8.2</c:v>
                </c:pt>
                <c:pt idx="547">
                  <c:v>8.2</c:v>
                </c:pt>
                <c:pt idx="548">
                  <c:v>8.2</c:v>
                </c:pt>
                <c:pt idx="549">
                  <c:v>8.2</c:v>
                </c:pt>
                <c:pt idx="550">
                  <c:v>8.2</c:v>
                </c:pt>
                <c:pt idx="551">
                  <c:v>8.2</c:v>
                </c:pt>
                <c:pt idx="552">
                  <c:v>8.2</c:v>
                </c:pt>
                <c:pt idx="553">
                  <c:v>8.3</c:v>
                </c:pt>
                <c:pt idx="554">
                  <c:v>8.3</c:v>
                </c:pt>
                <c:pt idx="555">
                  <c:v>8.3</c:v>
                </c:pt>
                <c:pt idx="556">
                  <c:v>8.3</c:v>
                </c:pt>
                <c:pt idx="557">
                  <c:v>8.3</c:v>
                </c:pt>
                <c:pt idx="558">
                  <c:v>8.3</c:v>
                </c:pt>
                <c:pt idx="559">
                  <c:v>8.3</c:v>
                </c:pt>
                <c:pt idx="560">
                  <c:v>8.4</c:v>
                </c:pt>
                <c:pt idx="561">
                  <c:v>8.4</c:v>
                </c:pt>
                <c:pt idx="562">
                  <c:v>8.4</c:v>
                </c:pt>
                <c:pt idx="563">
                  <c:v>8.4</c:v>
                </c:pt>
                <c:pt idx="564">
                  <c:v>8.4</c:v>
                </c:pt>
                <c:pt idx="565">
                  <c:v>8.4</c:v>
                </c:pt>
                <c:pt idx="566">
                  <c:v>8.4</c:v>
                </c:pt>
                <c:pt idx="567">
                  <c:v>8.5</c:v>
                </c:pt>
                <c:pt idx="568">
                  <c:v>8.5</c:v>
                </c:pt>
                <c:pt idx="569">
                  <c:v>8.5</c:v>
                </c:pt>
                <c:pt idx="570">
                  <c:v>8.5</c:v>
                </c:pt>
                <c:pt idx="571">
                  <c:v>8.5</c:v>
                </c:pt>
                <c:pt idx="572">
                  <c:v>8.6</c:v>
                </c:pt>
                <c:pt idx="573">
                  <c:v>8.6</c:v>
                </c:pt>
                <c:pt idx="574">
                  <c:v>8.6</c:v>
                </c:pt>
                <c:pt idx="575">
                  <c:v>8.6</c:v>
                </c:pt>
                <c:pt idx="576">
                  <c:v>8.6</c:v>
                </c:pt>
                <c:pt idx="577">
                  <c:v>8.6</c:v>
                </c:pt>
                <c:pt idx="578">
                  <c:v>8.7</c:v>
                </c:pt>
                <c:pt idx="579">
                  <c:v>8.7</c:v>
                </c:pt>
                <c:pt idx="580">
                  <c:v>8.7</c:v>
                </c:pt>
                <c:pt idx="581">
                  <c:v>8.7</c:v>
                </c:pt>
                <c:pt idx="582">
                  <c:v>8.7</c:v>
                </c:pt>
                <c:pt idx="583">
                  <c:v>8.7</c:v>
                </c:pt>
                <c:pt idx="584">
                  <c:v>8.7</c:v>
                </c:pt>
                <c:pt idx="585">
                  <c:v>8.7</c:v>
                </c:pt>
                <c:pt idx="586">
                  <c:v>8.8</c:v>
                </c:pt>
                <c:pt idx="587">
                  <c:v>8.8</c:v>
                </c:pt>
                <c:pt idx="588">
                  <c:v>8.8</c:v>
                </c:pt>
                <c:pt idx="589">
                  <c:v>8.8</c:v>
                </c:pt>
                <c:pt idx="590">
                  <c:v>8.8</c:v>
                </c:pt>
                <c:pt idx="591">
                  <c:v>8.8</c:v>
                </c:pt>
                <c:pt idx="592">
                  <c:v>8.9</c:v>
                </c:pt>
                <c:pt idx="593">
                  <c:v>8.9</c:v>
                </c:pt>
                <c:pt idx="594">
                  <c:v>8.9</c:v>
                </c:pt>
                <c:pt idx="595">
                  <c:v>8.9</c:v>
                </c:pt>
                <c:pt idx="596">
                  <c:v>8.9</c:v>
                </c:pt>
                <c:pt idx="597">
                  <c:v>8.9</c:v>
                </c:pt>
                <c:pt idx="598">
                  <c:v>8.9</c:v>
                </c:pt>
                <c:pt idx="599">
                  <c:v>9</c:v>
                </c:pt>
                <c:pt idx="600">
                  <c:v>9.1</c:v>
                </c:pt>
                <c:pt idx="601">
                  <c:v>9.1</c:v>
                </c:pt>
                <c:pt idx="602">
                  <c:v>9.1</c:v>
                </c:pt>
                <c:pt idx="603">
                  <c:v>9.1</c:v>
                </c:pt>
                <c:pt idx="604">
                  <c:v>9.1</c:v>
                </c:pt>
                <c:pt idx="605">
                  <c:v>9.1</c:v>
                </c:pt>
                <c:pt idx="606">
                  <c:v>9.2</c:v>
                </c:pt>
                <c:pt idx="607">
                  <c:v>9.2</c:v>
                </c:pt>
                <c:pt idx="608">
                  <c:v>9.2</c:v>
                </c:pt>
                <c:pt idx="609">
                  <c:v>9.3</c:v>
                </c:pt>
                <c:pt idx="610">
                  <c:v>9.3</c:v>
                </c:pt>
                <c:pt idx="611">
                  <c:v>9.4</c:v>
                </c:pt>
                <c:pt idx="612">
                  <c:v>9.4</c:v>
                </c:pt>
                <c:pt idx="613">
                  <c:v>9.4</c:v>
                </c:pt>
                <c:pt idx="614">
                  <c:v>9.5</c:v>
                </c:pt>
                <c:pt idx="615">
                  <c:v>9.5</c:v>
                </c:pt>
                <c:pt idx="616">
                  <c:v>9.5</c:v>
                </c:pt>
                <c:pt idx="617">
                  <c:v>9.5</c:v>
                </c:pt>
                <c:pt idx="618">
                  <c:v>9.5</c:v>
                </c:pt>
                <c:pt idx="619">
                  <c:v>9.6</c:v>
                </c:pt>
                <c:pt idx="620">
                  <c:v>9.6</c:v>
                </c:pt>
                <c:pt idx="621">
                  <c:v>9.6</c:v>
                </c:pt>
                <c:pt idx="622">
                  <c:v>9.7</c:v>
                </c:pt>
                <c:pt idx="623">
                  <c:v>9.7</c:v>
                </c:pt>
                <c:pt idx="624">
                  <c:v>9.7</c:v>
                </c:pt>
                <c:pt idx="625">
                  <c:v>9.7</c:v>
                </c:pt>
                <c:pt idx="626">
                  <c:v>9.7</c:v>
                </c:pt>
                <c:pt idx="627">
                  <c:v>9.8</c:v>
                </c:pt>
                <c:pt idx="628">
                  <c:v>9.8</c:v>
                </c:pt>
                <c:pt idx="629">
                  <c:v>9.8</c:v>
                </c:pt>
                <c:pt idx="630">
                  <c:v>9.8</c:v>
                </c:pt>
                <c:pt idx="631">
                  <c:v>9.8</c:v>
                </c:pt>
                <c:pt idx="632">
                  <c:v>9.8</c:v>
                </c:pt>
                <c:pt idx="633">
                  <c:v>9.9</c:v>
                </c:pt>
                <c:pt idx="634">
                  <c:v>9.9</c:v>
                </c:pt>
                <c:pt idx="635">
                  <c:v>9.9</c:v>
                </c:pt>
                <c:pt idx="636">
                  <c:v>10</c:v>
                </c:pt>
                <c:pt idx="637">
                  <c:v>10</c:v>
                </c:pt>
                <c:pt idx="638">
                  <c:v>10</c:v>
                </c:pt>
                <c:pt idx="639">
                  <c:v>10</c:v>
                </c:pt>
                <c:pt idx="640">
                  <c:v>10.1</c:v>
                </c:pt>
                <c:pt idx="641">
                  <c:v>10.1</c:v>
                </c:pt>
                <c:pt idx="642">
                  <c:v>10.1</c:v>
                </c:pt>
                <c:pt idx="643">
                  <c:v>10.2</c:v>
                </c:pt>
                <c:pt idx="644">
                  <c:v>10.2</c:v>
                </c:pt>
                <c:pt idx="645">
                  <c:v>10.2</c:v>
                </c:pt>
                <c:pt idx="646">
                  <c:v>10.2</c:v>
                </c:pt>
                <c:pt idx="647">
                  <c:v>10.2</c:v>
                </c:pt>
                <c:pt idx="648">
                  <c:v>10.3</c:v>
                </c:pt>
                <c:pt idx="649">
                  <c:v>10.3</c:v>
                </c:pt>
                <c:pt idx="650">
                  <c:v>10.4</c:v>
                </c:pt>
                <c:pt idx="651">
                  <c:v>10.4</c:v>
                </c:pt>
                <c:pt idx="652">
                  <c:v>10.4</c:v>
                </c:pt>
                <c:pt idx="653">
                  <c:v>10.4</c:v>
                </c:pt>
                <c:pt idx="654">
                  <c:v>10.5</c:v>
                </c:pt>
                <c:pt idx="655">
                  <c:v>10.5</c:v>
                </c:pt>
                <c:pt idx="656">
                  <c:v>10.5</c:v>
                </c:pt>
                <c:pt idx="657">
                  <c:v>10.6</c:v>
                </c:pt>
                <c:pt idx="658">
                  <c:v>10.6</c:v>
                </c:pt>
                <c:pt idx="659">
                  <c:v>10.6</c:v>
                </c:pt>
                <c:pt idx="660">
                  <c:v>10.6</c:v>
                </c:pt>
                <c:pt idx="661">
                  <c:v>10.7</c:v>
                </c:pt>
                <c:pt idx="662">
                  <c:v>10.7</c:v>
                </c:pt>
                <c:pt idx="663">
                  <c:v>10.7</c:v>
                </c:pt>
                <c:pt idx="664">
                  <c:v>10.8</c:v>
                </c:pt>
                <c:pt idx="665">
                  <c:v>10.8</c:v>
                </c:pt>
                <c:pt idx="666">
                  <c:v>10.8</c:v>
                </c:pt>
                <c:pt idx="667">
                  <c:v>10.9</c:v>
                </c:pt>
                <c:pt idx="668">
                  <c:v>10.9</c:v>
                </c:pt>
                <c:pt idx="669">
                  <c:v>10.9</c:v>
                </c:pt>
                <c:pt idx="670">
                  <c:v>11</c:v>
                </c:pt>
                <c:pt idx="671">
                  <c:v>11</c:v>
                </c:pt>
                <c:pt idx="672">
                  <c:v>11.1</c:v>
                </c:pt>
                <c:pt idx="673">
                  <c:v>11.1</c:v>
                </c:pt>
                <c:pt idx="674">
                  <c:v>11.1</c:v>
                </c:pt>
                <c:pt idx="675">
                  <c:v>11.2</c:v>
                </c:pt>
                <c:pt idx="676">
                  <c:v>11.2</c:v>
                </c:pt>
                <c:pt idx="677">
                  <c:v>11.2</c:v>
                </c:pt>
                <c:pt idx="678">
                  <c:v>11.2</c:v>
                </c:pt>
                <c:pt idx="679">
                  <c:v>11.3</c:v>
                </c:pt>
                <c:pt idx="680">
                  <c:v>11.3</c:v>
                </c:pt>
                <c:pt idx="681">
                  <c:v>11.4</c:v>
                </c:pt>
                <c:pt idx="682">
                  <c:v>11.4</c:v>
                </c:pt>
                <c:pt idx="683">
                  <c:v>11.4</c:v>
                </c:pt>
                <c:pt idx="684">
                  <c:v>11.6</c:v>
                </c:pt>
                <c:pt idx="685">
                  <c:v>11.6</c:v>
                </c:pt>
                <c:pt idx="686">
                  <c:v>11.6</c:v>
                </c:pt>
                <c:pt idx="687">
                  <c:v>11.6</c:v>
                </c:pt>
                <c:pt idx="688">
                  <c:v>11.7</c:v>
                </c:pt>
                <c:pt idx="689">
                  <c:v>11.7</c:v>
                </c:pt>
                <c:pt idx="690">
                  <c:v>11.7</c:v>
                </c:pt>
                <c:pt idx="691">
                  <c:v>11.8</c:v>
                </c:pt>
                <c:pt idx="692">
                  <c:v>11.8</c:v>
                </c:pt>
                <c:pt idx="693">
                  <c:v>11.8</c:v>
                </c:pt>
                <c:pt idx="694">
                  <c:v>11.8</c:v>
                </c:pt>
                <c:pt idx="695">
                  <c:v>11.8</c:v>
                </c:pt>
                <c:pt idx="696">
                  <c:v>11.8</c:v>
                </c:pt>
                <c:pt idx="697">
                  <c:v>11.8</c:v>
                </c:pt>
                <c:pt idx="698">
                  <c:v>11.9</c:v>
                </c:pt>
                <c:pt idx="699">
                  <c:v>11.9</c:v>
                </c:pt>
                <c:pt idx="700">
                  <c:v>12</c:v>
                </c:pt>
                <c:pt idx="701">
                  <c:v>12.1</c:v>
                </c:pt>
                <c:pt idx="702">
                  <c:v>12.1</c:v>
                </c:pt>
                <c:pt idx="703">
                  <c:v>12.2</c:v>
                </c:pt>
                <c:pt idx="704">
                  <c:v>12.2</c:v>
                </c:pt>
                <c:pt idx="705">
                  <c:v>12.2</c:v>
                </c:pt>
                <c:pt idx="706">
                  <c:v>12.2</c:v>
                </c:pt>
                <c:pt idx="707">
                  <c:v>12.3</c:v>
                </c:pt>
                <c:pt idx="708">
                  <c:v>12.3</c:v>
                </c:pt>
                <c:pt idx="709">
                  <c:v>12.3</c:v>
                </c:pt>
                <c:pt idx="710">
                  <c:v>12.4</c:v>
                </c:pt>
                <c:pt idx="711">
                  <c:v>12.4</c:v>
                </c:pt>
                <c:pt idx="712">
                  <c:v>12.5</c:v>
                </c:pt>
                <c:pt idx="713">
                  <c:v>12.5</c:v>
                </c:pt>
                <c:pt idx="714">
                  <c:v>12.5</c:v>
                </c:pt>
                <c:pt idx="715">
                  <c:v>12.6</c:v>
                </c:pt>
                <c:pt idx="716">
                  <c:v>12.6</c:v>
                </c:pt>
                <c:pt idx="717">
                  <c:v>12.6</c:v>
                </c:pt>
                <c:pt idx="718">
                  <c:v>12.7</c:v>
                </c:pt>
                <c:pt idx="719">
                  <c:v>12.7</c:v>
                </c:pt>
                <c:pt idx="720">
                  <c:v>12.7</c:v>
                </c:pt>
                <c:pt idx="721">
                  <c:v>12.7</c:v>
                </c:pt>
                <c:pt idx="722">
                  <c:v>12.8</c:v>
                </c:pt>
                <c:pt idx="723">
                  <c:v>12.8</c:v>
                </c:pt>
                <c:pt idx="724">
                  <c:v>12.8</c:v>
                </c:pt>
                <c:pt idx="725">
                  <c:v>12.8</c:v>
                </c:pt>
                <c:pt idx="726">
                  <c:v>13</c:v>
                </c:pt>
                <c:pt idx="727">
                  <c:v>13</c:v>
                </c:pt>
                <c:pt idx="728">
                  <c:v>13</c:v>
                </c:pt>
                <c:pt idx="729">
                  <c:v>13</c:v>
                </c:pt>
                <c:pt idx="730">
                  <c:v>13</c:v>
                </c:pt>
                <c:pt idx="731">
                  <c:v>13</c:v>
                </c:pt>
                <c:pt idx="732">
                  <c:v>13</c:v>
                </c:pt>
                <c:pt idx="733">
                  <c:v>13.1</c:v>
                </c:pt>
                <c:pt idx="734">
                  <c:v>13.1</c:v>
                </c:pt>
                <c:pt idx="735">
                  <c:v>13.2</c:v>
                </c:pt>
                <c:pt idx="736">
                  <c:v>13.2</c:v>
                </c:pt>
                <c:pt idx="737">
                  <c:v>13.3</c:v>
                </c:pt>
                <c:pt idx="738">
                  <c:v>13.3</c:v>
                </c:pt>
                <c:pt idx="739">
                  <c:v>13.3</c:v>
                </c:pt>
                <c:pt idx="740">
                  <c:v>13.3</c:v>
                </c:pt>
                <c:pt idx="741">
                  <c:v>13.4</c:v>
                </c:pt>
                <c:pt idx="742">
                  <c:v>13.5</c:v>
                </c:pt>
                <c:pt idx="743">
                  <c:v>13.5</c:v>
                </c:pt>
                <c:pt idx="744">
                  <c:v>13.6</c:v>
                </c:pt>
                <c:pt idx="745">
                  <c:v>13.6</c:v>
                </c:pt>
                <c:pt idx="746">
                  <c:v>13.6</c:v>
                </c:pt>
                <c:pt idx="747">
                  <c:v>13.6</c:v>
                </c:pt>
                <c:pt idx="748">
                  <c:v>13.7</c:v>
                </c:pt>
                <c:pt idx="749">
                  <c:v>13.7</c:v>
                </c:pt>
                <c:pt idx="750">
                  <c:v>13.7</c:v>
                </c:pt>
                <c:pt idx="751">
                  <c:v>13.7</c:v>
                </c:pt>
                <c:pt idx="752">
                  <c:v>13.7</c:v>
                </c:pt>
                <c:pt idx="753">
                  <c:v>14</c:v>
                </c:pt>
                <c:pt idx="754">
                  <c:v>14</c:v>
                </c:pt>
                <c:pt idx="755">
                  <c:v>14</c:v>
                </c:pt>
                <c:pt idx="756">
                  <c:v>14</c:v>
                </c:pt>
                <c:pt idx="757">
                  <c:v>14.1</c:v>
                </c:pt>
                <c:pt idx="758">
                  <c:v>14.1</c:v>
                </c:pt>
                <c:pt idx="759">
                  <c:v>14.2</c:v>
                </c:pt>
                <c:pt idx="760">
                  <c:v>14.2</c:v>
                </c:pt>
                <c:pt idx="761">
                  <c:v>14.3</c:v>
                </c:pt>
                <c:pt idx="762">
                  <c:v>14.4</c:v>
                </c:pt>
                <c:pt idx="763">
                  <c:v>14.5</c:v>
                </c:pt>
                <c:pt idx="764">
                  <c:v>14.5</c:v>
                </c:pt>
                <c:pt idx="765">
                  <c:v>14.6</c:v>
                </c:pt>
                <c:pt idx="766">
                  <c:v>14.6</c:v>
                </c:pt>
                <c:pt idx="767">
                  <c:v>14.6</c:v>
                </c:pt>
                <c:pt idx="768">
                  <c:v>14.7</c:v>
                </c:pt>
                <c:pt idx="769">
                  <c:v>14.7</c:v>
                </c:pt>
                <c:pt idx="770">
                  <c:v>14.7</c:v>
                </c:pt>
                <c:pt idx="771">
                  <c:v>14.8</c:v>
                </c:pt>
                <c:pt idx="772">
                  <c:v>14.8</c:v>
                </c:pt>
                <c:pt idx="773">
                  <c:v>14.9</c:v>
                </c:pt>
                <c:pt idx="774">
                  <c:v>15</c:v>
                </c:pt>
                <c:pt idx="775">
                  <c:v>15.1</c:v>
                </c:pt>
                <c:pt idx="776">
                  <c:v>15.1</c:v>
                </c:pt>
                <c:pt idx="777">
                  <c:v>15.2</c:v>
                </c:pt>
                <c:pt idx="778">
                  <c:v>15.2</c:v>
                </c:pt>
                <c:pt idx="779">
                  <c:v>15.3</c:v>
                </c:pt>
                <c:pt idx="780">
                  <c:v>15.3</c:v>
                </c:pt>
                <c:pt idx="781">
                  <c:v>15.4</c:v>
                </c:pt>
                <c:pt idx="782">
                  <c:v>15.4</c:v>
                </c:pt>
                <c:pt idx="783">
                  <c:v>15.4</c:v>
                </c:pt>
                <c:pt idx="784">
                  <c:v>15.5</c:v>
                </c:pt>
                <c:pt idx="785">
                  <c:v>15.6</c:v>
                </c:pt>
                <c:pt idx="786">
                  <c:v>15.6</c:v>
                </c:pt>
                <c:pt idx="787">
                  <c:v>15.7</c:v>
                </c:pt>
                <c:pt idx="788">
                  <c:v>15.8</c:v>
                </c:pt>
                <c:pt idx="789">
                  <c:v>15.8</c:v>
                </c:pt>
                <c:pt idx="790">
                  <c:v>15.9</c:v>
                </c:pt>
                <c:pt idx="791">
                  <c:v>15.9</c:v>
                </c:pt>
                <c:pt idx="792">
                  <c:v>15.9</c:v>
                </c:pt>
                <c:pt idx="793">
                  <c:v>16</c:v>
                </c:pt>
                <c:pt idx="794">
                  <c:v>16.1</c:v>
                </c:pt>
                <c:pt idx="795">
                  <c:v>16.1</c:v>
                </c:pt>
                <c:pt idx="796">
                  <c:v>16.1</c:v>
                </c:pt>
                <c:pt idx="797">
                  <c:v>16.2</c:v>
                </c:pt>
                <c:pt idx="798">
                  <c:v>16.3</c:v>
                </c:pt>
                <c:pt idx="799">
                  <c:v>16.3</c:v>
                </c:pt>
                <c:pt idx="800">
                  <c:v>16.5</c:v>
                </c:pt>
                <c:pt idx="801">
                  <c:v>16.6</c:v>
                </c:pt>
                <c:pt idx="802">
                  <c:v>16.6</c:v>
                </c:pt>
                <c:pt idx="803">
                  <c:v>16.6</c:v>
                </c:pt>
                <c:pt idx="804">
                  <c:v>16.7</c:v>
                </c:pt>
                <c:pt idx="805">
                  <c:v>16.8</c:v>
                </c:pt>
                <c:pt idx="806">
                  <c:v>16.8</c:v>
                </c:pt>
                <c:pt idx="807">
                  <c:v>16.9</c:v>
                </c:pt>
                <c:pt idx="808">
                  <c:v>16.9</c:v>
                </c:pt>
                <c:pt idx="809">
                  <c:v>16.9</c:v>
                </c:pt>
                <c:pt idx="810">
                  <c:v>17.2</c:v>
                </c:pt>
                <c:pt idx="811">
                  <c:v>17.2</c:v>
                </c:pt>
                <c:pt idx="812">
                  <c:v>17.5</c:v>
                </c:pt>
                <c:pt idx="813">
                  <c:v>17.6</c:v>
                </c:pt>
                <c:pt idx="814">
                  <c:v>17.6</c:v>
                </c:pt>
                <c:pt idx="815">
                  <c:v>17.7</c:v>
                </c:pt>
                <c:pt idx="816">
                  <c:v>17.8</c:v>
                </c:pt>
                <c:pt idx="817">
                  <c:v>17.9</c:v>
                </c:pt>
                <c:pt idx="818">
                  <c:v>17.9</c:v>
                </c:pt>
                <c:pt idx="819">
                  <c:v>17.9</c:v>
                </c:pt>
                <c:pt idx="820">
                  <c:v>17.9</c:v>
                </c:pt>
                <c:pt idx="821">
                  <c:v>18</c:v>
                </c:pt>
                <c:pt idx="822">
                  <c:v>18</c:v>
                </c:pt>
                <c:pt idx="823">
                  <c:v>18.1</c:v>
                </c:pt>
                <c:pt idx="824">
                  <c:v>18.1</c:v>
                </c:pt>
                <c:pt idx="825">
                  <c:v>18.2</c:v>
                </c:pt>
                <c:pt idx="826">
                  <c:v>18.2</c:v>
                </c:pt>
                <c:pt idx="827">
                  <c:v>18.3</c:v>
                </c:pt>
                <c:pt idx="828">
                  <c:v>18.4</c:v>
                </c:pt>
                <c:pt idx="829">
                  <c:v>18.4</c:v>
                </c:pt>
                <c:pt idx="830">
                  <c:v>18.5</c:v>
                </c:pt>
                <c:pt idx="831">
                  <c:v>18.5</c:v>
                </c:pt>
                <c:pt idx="832">
                  <c:v>18.9</c:v>
                </c:pt>
                <c:pt idx="833">
                  <c:v>18.9</c:v>
                </c:pt>
                <c:pt idx="834">
                  <c:v>18.9</c:v>
                </c:pt>
                <c:pt idx="835">
                  <c:v>19.1</c:v>
                </c:pt>
                <c:pt idx="836">
                  <c:v>19.1</c:v>
                </c:pt>
                <c:pt idx="837">
                  <c:v>19.1</c:v>
                </c:pt>
                <c:pt idx="838">
                  <c:v>19.1</c:v>
                </c:pt>
                <c:pt idx="839">
                  <c:v>19.2</c:v>
                </c:pt>
                <c:pt idx="840">
                  <c:v>19.2</c:v>
                </c:pt>
                <c:pt idx="841">
                  <c:v>19.3</c:v>
                </c:pt>
                <c:pt idx="842">
                  <c:v>19.4</c:v>
                </c:pt>
                <c:pt idx="843">
                  <c:v>19.4</c:v>
                </c:pt>
                <c:pt idx="844">
                  <c:v>19.5</c:v>
                </c:pt>
                <c:pt idx="845">
                  <c:v>19.5</c:v>
                </c:pt>
                <c:pt idx="846">
                  <c:v>19.7</c:v>
                </c:pt>
                <c:pt idx="847">
                  <c:v>19.7</c:v>
                </c:pt>
                <c:pt idx="848">
                  <c:v>19.8</c:v>
                </c:pt>
                <c:pt idx="849">
                  <c:v>19.9</c:v>
                </c:pt>
                <c:pt idx="850">
                  <c:v>19.9</c:v>
                </c:pt>
                <c:pt idx="851">
                  <c:v>19.9</c:v>
                </c:pt>
                <c:pt idx="852">
                  <c:v>20</c:v>
                </c:pt>
                <c:pt idx="853">
                  <c:v>20.2</c:v>
                </c:pt>
                <c:pt idx="854">
                  <c:v>20.2</c:v>
                </c:pt>
                <c:pt idx="855">
                  <c:v>20.2</c:v>
                </c:pt>
                <c:pt idx="856">
                  <c:v>20.3</c:v>
                </c:pt>
                <c:pt idx="857">
                  <c:v>20.3</c:v>
                </c:pt>
                <c:pt idx="858">
                  <c:v>20.3</c:v>
                </c:pt>
                <c:pt idx="859">
                  <c:v>20.5</c:v>
                </c:pt>
                <c:pt idx="860">
                  <c:v>20.5</c:v>
                </c:pt>
                <c:pt idx="861">
                  <c:v>20.6</c:v>
                </c:pt>
                <c:pt idx="862">
                  <c:v>20.6</c:v>
                </c:pt>
                <c:pt idx="863">
                  <c:v>20.7</c:v>
                </c:pt>
                <c:pt idx="864">
                  <c:v>20.8</c:v>
                </c:pt>
                <c:pt idx="865">
                  <c:v>20.9</c:v>
                </c:pt>
                <c:pt idx="866">
                  <c:v>21</c:v>
                </c:pt>
                <c:pt idx="867">
                  <c:v>21</c:v>
                </c:pt>
                <c:pt idx="868">
                  <c:v>21</c:v>
                </c:pt>
                <c:pt idx="869">
                  <c:v>21</c:v>
                </c:pt>
                <c:pt idx="870">
                  <c:v>21.1</c:v>
                </c:pt>
                <c:pt idx="871">
                  <c:v>21.1</c:v>
                </c:pt>
                <c:pt idx="872">
                  <c:v>21.4</c:v>
                </c:pt>
                <c:pt idx="873">
                  <c:v>21.7</c:v>
                </c:pt>
                <c:pt idx="874">
                  <c:v>21.8</c:v>
                </c:pt>
                <c:pt idx="875">
                  <c:v>21.8</c:v>
                </c:pt>
                <c:pt idx="876">
                  <c:v>22</c:v>
                </c:pt>
                <c:pt idx="877">
                  <c:v>22</c:v>
                </c:pt>
                <c:pt idx="878">
                  <c:v>22</c:v>
                </c:pt>
                <c:pt idx="879">
                  <c:v>22.1</c:v>
                </c:pt>
                <c:pt idx="880">
                  <c:v>22.2</c:v>
                </c:pt>
                <c:pt idx="881">
                  <c:v>22.2</c:v>
                </c:pt>
                <c:pt idx="882">
                  <c:v>22.3</c:v>
                </c:pt>
                <c:pt idx="883">
                  <c:v>22.3</c:v>
                </c:pt>
                <c:pt idx="884">
                  <c:v>22.3</c:v>
                </c:pt>
                <c:pt idx="885">
                  <c:v>22.3</c:v>
                </c:pt>
                <c:pt idx="886">
                  <c:v>22.4</c:v>
                </c:pt>
                <c:pt idx="887">
                  <c:v>22.5</c:v>
                </c:pt>
                <c:pt idx="888">
                  <c:v>22.5</c:v>
                </c:pt>
                <c:pt idx="889">
                  <c:v>22.6</c:v>
                </c:pt>
                <c:pt idx="890">
                  <c:v>22.7</c:v>
                </c:pt>
                <c:pt idx="891">
                  <c:v>22.8</c:v>
                </c:pt>
                <c:pt idx="892">
                  <c:v>22.9</c:v>
                </c:pt>
                <c:pt idx="893">
                  <c:v>23.1</c:v>
                </c:pt>
                <c:pt idx="894">
                  <c:v>23.1</c:v>
                </c:pt>
                <c:pt idx="895">
                  <c:v>23.1</c:v>
                </c:pt>
                <c:pt idx="896">
                  <c:v>23.2</c:v>
                </c:pt>
                <c:pt idx="897">
                  <c:v>23.2</c:v>
                </c:pt>
                <c:pt idx="898">
                  <c:v>23.2</c:v>
                </c:pt>
                <c:pt idx="899">
                  <c:v>23.3</c:v>
                </c:pt>
                <c:pt idx="900">
                  <c:v>23.4</c:v>
                </c:pt>
                <c:pt idx="901">
                  <c:v>23.4</c:v>
                </c:pt>
                <c:pt idx="902">
                  <c:v>23.5</c:v>
                </c:pt>
                <c:pt idx="903">
                  <c:v>23.6</c:v>
                </c:pt>
                <c:pt idx="904">
                  <c:v>23.6</c:v>
                </c:pt>
                <c:pt idx="905">
                  <c:v>23.6</c:v>
                </c:pt>
                <c:pt idx="906">
                  <c:v>23.6</c:v>
                </c:pt>
                <c:pt idx="907">
                  <c:v>23.9</c:v>
                </c:pt>
                <c:pt idx="908">
                  <c:v>24.1</c:v>
                </c:pt>
                <c:pt idx="909">
                  <c:v>24.1</c:v>
                </c:pt>
                <c:pt idx="910">
                  <c:v>24.2</c:v>
                </c:pt>
                <c:pt idx="911">
                  <c:v>24.3</c:v>
                </c:pt>
                <c:pt idx="912">
                  <c:v>24.5</c:v>
                </c:pt>
                <c:pt idx="913">
                  <c:v>24.6</c:v>
                </c:pt>
                <c:pt idx="914">
                  <c:v>24.6</c:v>
                </c:pt>
                <c:pt idx="915">
                  <c:v>24.6</c:v>
                </c:pt>
                <c:pt idx="916">
                  <c:v>24.6</c:v>
                </c:pt>
                <c:pt idx="917">
                  <c:v>24.6</c:v>
                </c:pt>
                <c:pt idx="918">
                  <c:v>24.8</c:v>
                </c:pt>
                <c:pt idx="919">
                  <c:v>24.8</c:v>
                </c:pt>
                <c:pt idx="920">
                  <c:v>24.8</c:v>
                </c:pt>
                <c:pt idx="921">
                  <c:v>24.9</c:v>
                </c:pt>
                <c:pt idx="922">
                  <c:v>24.9</c:v>
                </c:pt>
                <c:pt idx="923">
                  <c:v>25.1</c:v>
                </c:pt>
                <c:pt idx="924">
                  <c:v>25.1</c:v>
                </c:pt>
                <c:pt idx="925">
                  <c:v>25.2</c:v>
                </c:pt>
                <c:pt idx="926">
                  <c:v>25.2</c:v>
                </c:pt>
                <c:pt idx="927">
                  <c:v>25.2</c:v>
                </c:pt>
                <c:pt idx="928">
                  <c:v>25.4</c:v>
                </c:pt>
                <c:pt idx="929">
                  <c:v>25.4</c:v>
                </c:pt>
                <c:pt idx="930">
                  <c:v>25.6</c:v>
                </c:pt>
                <c:pt idx="931">
                  <c:v>25.7</c:v>
                </c:pt>
                <c:pt idx="932">
                  <c:v>25.7</c:v>
                </c:pt>
                <c:pt idx="933">
                  <c:v>25.8</c:v>
                </c:pt>
                <c:pt idx="934">
                  <c:v>25.9</c:v>
                </c:pt>
                <c:pt idx="935">
                  <c:v>26</c:v>
                </c:pt>
                <c:pt idx="936">
                  <c:v>26</c:v>
                </c:pt>
                <c:pt idx="937">
                  <c:v>26.2</c:v>
                </c:pt>
                <c:pt idx="938">
                  <c:v>26.3</c:v>
                </c:pt>
                <c:pt idx="939">
                  <c:v>26.4</c:v>
                </c:pt>
                <c:pt idx="940">
                  <c:v>26.5</c:v>
                </c:pt>
                <c:pt idx="941">
                  <c:v>26.5</c:v>
                </c:pt>
                <c:pt idx="942">
                  <c:v>26.6</c:v>
                </c:pt>
                <c:pt idx="943">
                  <c:v>26.6</c:v>
                </c:pt>
                <c:pt idx="944">
                  <c:v>26.7</c:v>
                </c:pt>
                <c:pt idx="945">
                  <c:v>26.7</c:v>
                </c:pt>
                <c:pt idx="946">
                  <c:v>26.9</c:v>
                </c:pt>
                <c:pt idx="947">
                  <c:v>27</c:v>
                </c:pt>
                <c:pt idx="948">
                  <c:v>27.1</c:v>
                </c:pt>
                <c:pt idx="949">
                  <c:v>27.1</c:v>
                </c:pt>
                <c:pt idx="950">
                  <c:v>27.2</c:v>
                </c:pt>
                <c:pt idx="951">
                  <c:v>27.3</c:v>
                </c:pt>
                <c:pt idx="952">
                  <c:v>27.4</c:v>
                </c:pt>
                <c:pt idx="953">
                  <c:v>27.5</c:v>
                </c:pt>
                <c:pt idx="954">
                  <c:v>27.5</c:v>
                </c:pt>
                <c:pt idx="955">
                  <c:v>27.6</c:v>
                </c:pt>
                <c:pt idx="956">
                  <c:v>27.7</c:v>
                </c:pt>
                <c:pt idx="957">
                  <c:v>27.8</c:v>
                </c:pt>
                <c:pt idx="958">
                  <c:v>27.8</c:v>
                </c:pt>
                <c:pt idx="959">
                  <c:v>28.3</c:v>
                </c:pt>
                <c:pt idx="960">
                  <c:v>28.5</c:v>
                </c:pt>
                <c:pt idx="961">
                  <c:v>28.5</c:v>
                </c:pt>
                <c:pt idx="962">
                  <c:v>28.6</c:v>
                </c:pt>
                <c:pt idx="963">
                  <c:v>28.8</c:v>
                </c:pt>
                <c:pt idx="964">
                  <c:v>29.1</c:v>
                </c:pt>
                <c:pt idx="965">
                  <c:v>29.3</c:v>
                </c:pt>
                <c:pt idx="966">
                  <c:v>29.4</c:v>
                </c:pt>
                <c:pt idx="967">
                  <c:v>29.6</c:v>
                </c:pt>
                <c:pt idx="968">
                  <c:v>29.7</c:v>
                </c:pt>
                <c:pt idx="969">
                  <c:v>29.8</c:v>
                </c:pt>
                <c:pt idx="970">
                  <c:v>30</c:v>
                </c:pt>
                <c:pt idx="971">
                  <c:v>30</c:v>
                </c:pt>
                <c:pt idx="972">
                  <c:v>30.2</c:v>
                </c:pt>
                <c:pt idx="973">
                  <c:v>30.2</c:v>
                </c:pt>
                <c:pt idx="974">
                  <c:v>30.6</c:v>
                </c:pt>
                <c:pt idx="975">
                  <c:v>30.8</c:v>
                </c:pt>
                <c:pt idx="976">
                  <c:v>31</c:v>
                </c:pt>
                <c:pt idx="977">
                  <c:v>31.1</c:v>
                </c:pt>
                <c:pt idx="978">
                  <c:v>31.2</c:v>
                </c:pt>
                <c:pt idx="979">
                  <c:v>31.5</c:v>
                </c:pt>
                <c:pt idx="980">
                  <c:v>31.5</c:v>
                </c:pt>
                <c:pt idx="981">
                  <c:v>31.6</c:v>
                </c:pt>
                <c:pt idx="982">
                  <c:v>31.8</c:v>
                </c:pt>
                <c:pt idx="983">
                  <c:v>31.9</c:v>
                </c:pt>
                <c:pt idx="984">
                  <c:v>32.1</c:v>
                </c:pt>
                <c:pt idx="985">
                  <c:v>32.2</c:v>
                </c:pt>
                <c:pt idx="986">
                  <c:v>32.3</c:v>
                </c:pt>
                <c:pt idx="987">
                  <c:v>32.5</c:v>
                </c:pt>
                <c:pt idx="988">
                  <c:v>32.7</c:v>
                </c:pt>
                <c:pt idx="989">
                  <c:v>32.8</c:v>
                </c:pt>
                <c:pt idx="990">
                  <c:v>33.1</c:v>
                </c:pt>
                <c:pt idx="991">
                  <c:v>33.2</c:v>
                </c:pt>
                <c:pt idx="992">
                  <c:v>33.3</c:v>
                </c:pt>
                <c:pt idx="993">
                  <c:v>33.4</c:v>
                </c:pt>
                <c:pt idx="994">
                  <c:v>33.6</c:v>
                </c:pt>
                <c:pt idx="995">
                  <c:v>33.8</c:v>
                </c:pt>
                <c:pt idx="996">
                  <c:v>33.8</c:v>
                </c:pt>
                <c:pt idx="997">
                  <c:v>33.9</c:v>
                </c:pt>
                <c:pt idx="998">
                  <c:v>33.9</c:v>
                </c:pt>
                <c:pt idx="999">
                  <c:v>34.1</c:v>
                </c:pt>
                <c:pt idx="1000">
                  <c:v>34.7</c:v>
                </c:pt>
                <c:pt idx="1001">
                  <c:v>34.7</c:v>
                </c:pt>
                <c:pt idx="1002">
                  <c:v>34.7</c:v>
                </c:pt>
                <c:pt idx="1003">
                  <c:v>35.8</c:v>
                </c:pt>
                <c:pt idx="1004">
                  <c:v>37.2</c:v>
                </c:pt>
                <c:pt idx="1005">
                  <c:v>38.1</c:v>
                </c:pt>
                <c:pt idx="1006">
                  <c:v>38.2</c:v>
                </c:pt>
                <c:pt idx="1007">
                  <c:v>38.4</c:v>
                </c:pt>
                <c:pt idx="1008">
                  <c:v>38.6</c:v>
                </c:pt>
                <c:pt idx="1009">
                  <c:v>38.6</c:v>
                </c:pt>
                <c:pt idx="1010">
                  <c:v>38.8</c:v>
                </c:pt>
                <c:pt idx="1011">
                  <c:v>38.9</c:v>
                </c:pt>
                <c:pt idx="1012">
                  <c:v>38.9</c:v>
                </c:pt>
                <c:pt idx="1013">
                  <c:v>39</c:v>
                </c:pt>
                <c:pt idx="1014">
                  <c:v>39.1</c:v>
                </c:pt>
                <c:pt idx="1015">
                  <c:v>39.4</c:v>
                </c:pt>
                <c:pt idx="1016">
                  <c:v>39.5</c:v>
                </c:pt>
                <c:pt idx="1017">
                  <c:v>39.5</c:v>
                </c:pt>
                <c:pt idx="1018">
                  <c:v>40.5</c:v>
                </c:pt>
                <c:pt idx="1019">
                  <c:v>41.1</c:v>
                </c:pt>
                <c:pt idx="1020">
                  <c:v>41.2</c:v>
                </c:pt>
                <c:pt idx="1021">
                  <c:v>41.3</c:v>
                </c:pt>
                <c:pt idx="1022">
                  <c:v>41.3</c:v>
                </c:pt>
                <c:pt idx="1023">
                  <c:v>41.3</c:v>
                </c:pt>
                <c:pt idx="1024">
                  <c:v>41.9</c:v>
                </c:pt>
                <c:pt idx="1025">
                  <c:v>41.9</c:v>
                </c:pt>
                <c:pt idx="1026">
                  <c:v>41.9</c:v>
                </c:pt>
                <c:pt idx="1027">
                  <c:v>42</c:v>
                </c:pt>
                <c:pt idx="1028">
                  <c:v>42</c:v>
                </c:pt>
                <c:pt idx="1029">
                  <c:v>42.9</c:v>
                </c:pt>
                <c:pt idx="1030">
                  <c:v>43</c:v>
                </c:pt>
                <c:pt idx="1031">
                  <c:v>44.2</c:v>
                </c:pt>
                <c:pt idx="1032">
                  <c:v>44.2</c:v>
                </c:pt>
                <c:pt idx="1033">
                  <c:v>44.6</c:v>
                </c:pt>
                <c:pt idx="1034">
                  <c:v>45.1</c:v>
                </c:pt>
                <c:pt idx="1035">
                  <c:v>45.6</c:v>
                </c:pt>
                <c:pt idx="1036">
                  <c:v>45.6</c:v>
                </c:pt>
                <c:pt idx="1037">
                  <c:v>45.8</c:v>
                </c:pt>
                <c:pt idx="1038">
                  <c:v>46.4</c:v>
                </c:pt>
                <c:pt idx="1039">
                  <c:v>46.8</c:v>
                </c:pt>
                <c:pt idx="1040">
                  <c:v>47</c:v>
                </c:pt>
                <c:pt idx="1041">
                  <c:v>47.7</c:v>
                </c:pt>
                <c:pt idx="1042">
                  <c:v>48</c:v>
                </c:pt>
                <c:pt idx="1043">
                  <c:v>48.4</c:v>
                </c:pt>
                <c:pt idx="1044">
                  <c:v>48.9</c:v>
                </c:pt>
                <c:pt idx="1045">
                  <c:v>49.5</c:v>
                </c:pt>
                <c:pt idx="1046">
                  <c:v>50.1</c:v>
                </c:pt>
                <c:pt idx="1047">
                  <c:v>50.3</c:v>
                </c:pt>
                <c:pt idx="1048">
                  <c:v>50.9</c:v>
                </c:pt>
                <c:pt idx="1049">
                  <c:v>51.1</c:v>
                </c:pt>
                <c:pt idx="1050">
                  <c:v>51.2</c:v>
                </c:pt>
                <c:pt idx="1051">
                  <c:v>51.3</c:v>
                </c:pt>
                <c:pt idx="1052">
                  <c:v>51.4</c:v>
                </c:pt>
                <c:pt idx="1053">
                  <c:v>53.8</c:v>
                </c:pt>
                <c:pt idx="1054">
                  <c:v>54</c:v>
                </c:pt>
                <c:pt idx="1055">
                  <c:v>54.7</c:v>
                </c:pt>
                <c:pt idx="1056">
                  <c:v>54.8</c:v>
                </c:pt>
                <c:pt idx="1057">
                  <c:v>54.9</c:v>
                </c:pt>
                <c:pt idx="1058">
                  <c:v>56</c:v>
                </c:pt>
                <c:pt idx="1059">
                  <c:v>56.8</c:v>
                </c:pt>
                <c:pt idx="1060">
                  <c:v>57.7</c:v>
                </c:pt>
                <c:pt idx="1061">
                  <c:v>58.4</c:v>
                </c:pt>
                <c:pt idx="1062">
                  <c:v>58.6</c:v>
                </c:pt>
                <c:pt idx="1063">
                  <c:v>58.7</c:v>
                </c:pt>
                <c:pt idx="1064">
                  <c:v>59</c:v>
                </c:pt>
                <c:pt idx="1065">
                  <c:v>61</c:v>
                </c:pt>
                <c:pt idx="1066">
                  <c:v>61.6</c:v>
                </c:pt>
                <c:pt idx="1067">
                  <c:v>61.8</c:v>
                </c:pt>
                <c:pt idx="1068">
                  <c:v>63.1</c:v>
                </c:pt>
                <c:pt idx="1069">
                  <c:v>63.6</c:v>
                </c:pt>
                <c:pt idx="1070">
                  <c:v>63.7</c:v>
                </c:pt>
                <c:pt idx="1071">
                  <c:v>63.8</c:v>
                </c:pt>
                <c:pt idx="1072">
                  <c:v>64.4</c:v>
                </c:pt>
                <c:pt idx="1073">
                  <c:v>65.5</c:v>
                </c:pt>
                <c:pt idx="1074">
                  <c:v>65.9</c:v>
                </c:pt>
                <c:pt idx="1075">
                  <c:v>66.3</c:v>
                </c:pt>
                <c:pt idx="1076">
                  <c:v>66.8</c:v>
                </c:pt>
                <c:pt idx="1077">
                  <c:v>67.3</c:v>
                </c:pt>
                <c:pt idx="1078">
                  <c:v>68.3</c:v>
                </c:pt>
                <c:pt idx="1079">
                  <c:v>68.5</c:v>
                </c:pt>
                <c:pt idx="1080">
                  <c:v>69.5</c:v>
                </c:pt>
                <c:pt idx="1081">
                  <c:v>69.8</c:v>
                </c:pt>
                <c:pt idx="1082">
                  <c:v>71.4</c:v>
                </c:pt>
                <c:pt idx="1083">
                  <c:v>75.3</c:v>
                </c:pt>
                <c:pt idx="1084">
                  <c:v>75.5</c:v>
                </c:pt>
                <c:pt idx="1085">
                  <c:v>77.7</c:v>
                </c:pt>
                <c:pt idx="1086">
                  <c:v>77.7</c:v>
                </c:pt>
                <c:pt idx="1087">
                  <c:v>78.9</c:v>
                </c:pt>
                <c:pt idx="1088">
                  <c:v>82.9</c:v>
                </c:pt>
                <c:pt idx="1089">
                  <c:v>90.6</c:v>
                </c:pt>
                <c:pt idx="1090">
                  <c:v>91.4</c:v>
                </c:pt>
                <c:pt idx="1091">
                  <c:v>93.3</c:v>
                </c:pt>
                <c:pt idx="1092">
                  <c:v>96</c:v>
                </c:pt>
                <c:pt idx="1093">
                  <c:v>100.4</c:v>
                </c:pt>
                <c:pt idx="1094">
                  <c:v>103</c:v>
                </c:pt>
                <c:pt idx="1095">
                  <c:v>109.8</c:v>
                </c:pt>
                <c:pt idx="1096">
                  <c:v>109.8</c:v>
                </c:pt>
                <c:pt idx="1097">
                  <c:v>139.2</c:v>
                </c:pt>
                <c:pt idx="1098">
                  <c:v>156.2</c:v>
                </c:pt>
              </c:numCache>
            </c:numRef>
          </c:val>
        </c:ser>
        <c:dLbls>
          <c:showLegendKey val="0"/>
          <c:showVal val="0"/>
          <c:showCatName val="0"/>
          <c:showSerName val="0"/>
          <c:showPercent val="0"/>
          <c:showBubbleSize val="0"/>
        </c:dLbls>
        <c:gapWidth val="150"/>
        <c:axId val="389132656"/>
        <c:axId val="389127616"/>
      </c:barChart>
      <c:catAx>
        <c:axId val="389132656"/>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00" b="0"/>
                  <a:t>降雨事件</a:t>
                </a:r>
                <a:endParaRPr lang="zh-CN" altLang="en-US" sz="1000" b="0"/>
              </a:p>
            </c:rich>
          </c:tx>
          <c:layout>
            <c:manualLayout>
              <c:xMode val="edge"/>
              <c:yMode val="edge"/>
              <c:x val="0.456852523327822"/>
              <c:y val="0.924425379470053"/>
            </c:manualLayout>
          </c:layout>
          <c:overlay val="0"/>
        </c:title>
        <c:numFmt formatCode="General" sourceLinked="1"/>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9127616"/>
        <c:crosses val="autoZero"/>
        <c:auto val="1"/>
        <c:lblAlgn val="ctr"/>
        <c:lblOffset val="100"/>
        <c:tickLblSkip val="100"/>
        <c:tickMarkSkip val="100"/>
        <c:noMultiLvlLbl val="0"/>
      </c:catAx>
      <c:valAx>
        <c:axId val="389127616"/>
        <c:scaling>
          <c:orientation val="minMax"/>
          <c:max val="160"/>
        </c:scaling>
        <c:delete val="0"/>
        <c:axPos val="l"/>
        <c:numFmt formatCode="General" sourceLinked="1"/>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9132656"/>
        <c:crosses val="autoZero"/>
        <c:crossBetween val="between"/>
      </c:valAx>
      <c:spPr>
        <a:solidFill>
          <a:srgbClr val="FFFFFF"/>
        </a:solidFill>
        <a:ln w="3175">
          <a:solidFill>
            <a:schemeClr val="tx1"/>
          </a:solidFill>
        </a:ln>
      </c:spPr>
    </c:plotArea>
    <c:plotVisOnly val="1"/>
    <c:dispBlanksAs val="gap"/>
    <c:showDLblsOverMax val="0"/>
  </c:chart>
  <c:spPr>
    <a:solidFill>
      <a:srgbClr val="FFFFFF"/>
    </a:solidFill>
    <a:ln w="9525" cap="flat" cmpd="sng" algn="ctr">
      <a:solidFill>
        <a:schemeClr val="tx1">
          <a:alpha val="0"/>
        </a:schemeClr>
      </a:solidFill>
      <a:prstDash val="solid"/>
      <a:round/>
    </a:ln>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986105906"/>
          <c:y val="0.0514005540974045"/>
          <c:w val="0.82730996845521"/>
          <c:h val="0.819314708949053"/>
        </c:manualLayout>
      </c:layout>
      <c:lineChart>
        <c:grouping val="standard"/>
        <c:varyColors val="0"/>
        <c:ser>
          <c:idx val="0"/>
          <c:order val="0"/>
          <c:tx>
            <c:strRef>
              <c:f>年径流总量控制率</c:f>
              <c:strCache>
                <c:ptCount val="1"/>
                <c:pt idx="0">
                  <c:v>年径流总量控制率</c:v>
                </c:pt>
              </c:strCache>
            </c:strRef>
          </c:tx>
          <c:spPr>
            <a:ln w="9525" cap="rnd" cmpd="sng" algn="ctr">
              <a:solidFill>
                <a:schemeClr val="tx1"/>
              </a:solidFill>
              <a:prstDash val="solid"/>
              <a:round/>
            </a:ln>
          </c:spPr>
          <c:marker>
            <c:symbol val="square"/>
            <c:size val="3"/>
            <c:spPr>
              <a:solidFill>
                <a:schemeClr val="tx1"/>
              </a:solidFill>
              <a:ln w="9525" cap="flat" cmpd="sng" algn="ctr">
                <a:noFill/>
                <a:prstDash val="solid"/>
                <a:round/>
              </a:ln>
            </c:spPr>
          </c:marker>
          <c:dLbls>
            <c:delete val="1"/>
          </c:dLbls>
          <c:cat>
            <c:numRef>
              <c:f>'D:\网易闪电邮\account\wwl841012@126.com\attaches\[降雨资料统计-LC.xlsx]不同径流系数下年径流总量削减率-2mm都不考虑'!$T$1:$T$100</c:f>
              <c:numCache>
                <c:formatCode>General</c:formatCode>
                <c:ptCount val="100"/>
                <c:pt idx="0">
                  <c:v>0</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北京!$Z$2:$Z$100</c:f>
              <c:numCache>
                <c:formatCode>0.0_ </c:formatCode>
                <c:ptCount val="99"/>
                <c:pt idx="0">
                  <c:v>13.8787943903379</c:v>
                </c:pt>
                <c:pt idx="1">
                  <c:v>20.3543010990539</c:v>
                </c:pt>
                <c:pt idx="2">
                  <c:v>26.0271635055964</c:v>
                </c:pt>
                <c:pt idx="3">
                  <c:v>31.0958306736524</c:v>
                </c:pt>
                <c:pt idx="4">
                  <c:v>35.5881107522736</c:v>
                </c:pt>
                <c:pt idx="5">
                  <c:v>39.6999247915969</c:v>
                </c:pt>
                <c:pt idx="6">
                  <c:v>43.4116806866085</c:v>
                </c:pt>
                <c:pt idx="7">
                  <c:v>46.7600346337856</c:v>
                </c:pt>
                <c:pt idx="8">
                  <c:v>49.8018669380068</c:v>
                </c:pt>
                <c:pt idx="9">
                  <c:v>52.6054339651261</c:v>
                </c:pt>
                <c:pt idx="10">
                  <c:v>55.2206639827589</c:v>
                </c:pt>
                <c:pt idx="11">
                  <c:v>57.6538770247809</c:v>
                </c:pt>
                <c:pt idx="12">
                  <c:v>59.8981210539288</c:v>
                </c:pt>
                <c:pt idx="13">
                  <c:v>62.0071163581437</c:v>
                </c:pt>
                <c:pt idx="14">
                  <c:v>63.9985590322764</c:v>
                </c:pt>
                <c:pt idx="15">
                  <c:v>65.8781371068149</c:v>
                </c:pt>
                <c:pt idx="16">
                  <c:v>67.6806107680737</c:v>
                </c:pt>
                <c:pt idx="17">
                  <c:v>69.3832278941015</c:v>
                </c:pt>
                <c:pt idx="18">
                  <c:v>70.9935725255487</c:v>
                </c:pt>
                <c:pt idx="19">
                  <c:v>72.5046926251525</c:v>
                </c:pt>
                <c:pt idx="20">
                  <c:v>73.9323882776012</c:v>
                </c:pt>
                <c:pt idx="21">
                  <c:v>75.2728674625696</c:v>
                </c:pt>
                <c:pt idx="22">
                  <c:v>76.5166501292447</c:v>
                </c:pt>
                <c:pt idx="23">
                  <c:v>77.682064375865</c:v>
                </c:pt>
                <c:pt idx="24">
                  <c:v>78.7520461109671</c:v>
                </c:pt>
                <c:pt idx="25">
                  <c:v>79.7468194429522</c:v>
                </c:pt>
                <c:pt idx="26">
                  <c:v>80.6632243548825</c:v>
                </c:pt>
                <c:pt idx="27">
                  <c:v>81.5334930195226</c:v>
                </c:pt>
                <c:pt idx="28">
                  <c:v>82.3671054876854</c:v>
                </c:pt>
                <c:pt idx="29">
                  <c:v>83.155845715333</c:v>
                </c:pt>
                <c:pt idx="30">
                  <c:v>83.9054017329533</c:v>
                </c:pt>
                <c:pt idx="31">
                  <c:v>84.6107175134458</c:v>
                </c:pt>
                <c:pt idx="32">
                  <c:v>85.2743210703609</c:v>
                </c:pt>
                <c:pt idx="33">
                  <c:v>85.8949483969234</c:v>
                </c:pt>
                <c:pt idx="34">
                  <c:v>86.500407642185</c:v>
                </c:pt>
                <c:pt idx="35">
                  <c:v>87.1008108603462</c:v>
                </c:pt>
                <c:pt idx="36">
                  <c:v>87.6961580514072</c:v>
                </c:pt>
                <c:pt idx="37">
                  <c:v>88.2681211171292</c:v>
                </c:pt>
                <c:pt idx="38">
                  <c:v>88.7895239118481</c:v>
                </c:pt>
                <c:pt idx="39">
                  <c:v>89.2982866388164</c:v>
                </c:pt>
                <c:pt idx="40">
                  <c:v>89.7779772099578</c:v>
                </c:pt>
                <c:pt idx="41">
                  <c:v>90.219747577847</c:v>
                </c:pt>
                <c:pt idx="42">
                  <c:v>90.649509881373</c:v>
                </c:pt>
                <c:pt idx="43">
                  <c:v>91.0666321171481</c:v>
                </c:pt>
                <c:pt idx="44">
                  <c:v>91.4654262546847</c:v>
                </c:pt>
                <c:pt idx="45">
                  <c:v>91.8458922939827</c:v>
                </c:pt>
                <c:pt idx="46">
                  <c:v>92.2105582485922</c:v>
                </c:pt>
                <c:pt idx="47">
                  <c:v>92.5600561219008</c:v>
                </c:pt>
                <c:pt idx="48">
                  <c:v>92.8981779342337</c:v>
                </c:pt>
                <c:pt idx="49">
                  <c:v>93.2223956720408</c:v>
                </c:pt>
                <c:pt idx="50">
                  <c:v>93.5194372641837</c:v>
                </c:pt>
                <c:pt idx="51">
                  <c:v>93.8101588224513</c:v>
                </c:pt>
                <c:pt idx="52">
                  <c:v>94.0996163739437</c:v>
                </c:pt>
                <c:pt idx="53">
                  <c:v>94.3739058441353</c:v>
                </c:pt>
                <c:pt idx="54">
                  <c:v>94.633027233026</c:v>
                </c:pt>
                <c:pt idx="55">
                  <c:v>94.8845645812661</c:v>
                </c:pt>
                <c:pt idx="56">
                  <c:v>95.1291498922434</c:v>
                </c:pt>
                <c:pt idx="57">
                  <c:v>95.3610951354699</c:v>
                </c:pt>
                <c:pt idx="58">
                  <c:v>95.5759762872329</c:v>
                </c:pt>
                <c:pt idx="59">
                  <c:v>95.7908574389959</c:v>
                </c:pt>
                <c:pt idx="60">
                  <c:v>95.9956265365582</c:v>
                </c:pt>
                <c:pt idx="61">
                  <c:v>96.1915475866951</c:v>
                </c:pt>
                <c:pt idx="62">
                  <c:v>96.3760925758562</c:v>
                </c:pt>
                <c:pt idx="63">
                  <c:v>96.5429414701663</c:v>
                </c:pt>
                <c:pt idx="64">
                  <c:v>96.703470330601</c:v>
                </c:pt>
                <c:pt idx="65">
                  <c:v>96.8494631131223</c:v>
                </c:pt>
                <c:pt idx="66">
                  <c:v>96.9840798346679</c:v>
                </c:pt>
                <c:pt idx="67">
                  <c:v>97.1092165054005</c:v>
                </c:pt>
                <c:pt idx="68">
                  <c:v>97.22487312532</c:v>
                </c:pt>
                <c:pt idx="69">
                  <c:v>97.3323137012014</c:v>
                </c:pt>
                <c:pt idx="70">
                  <c:v>97.4359622567577</c:v>
                </c:pt>
                <c:pt idx="71">
                  <c:v>97.5370827987638</c:v>
                </c:pt>
                <c:pt idx="72">
                  <c:v>97.6382033407699</c:v>
                </c:pt>
                <c:pt idx="73">
                  <c:v>97.739323882776</c:v>
                </c:pt>
                <c:pt idx="74">
                  <c:v>97.8328603841316</c:v>
                </c:pt>
                <c:pt idx="75">
                  <c:v>97.921340858387</c:v>
                </c:pt>
                <c:pt idx="76">
                  <c:v>98.0060293123171</c:v>
                </c:pt>
                <c:pt idx="77">
                  <c:v>98.0812377154342</c:v>
                </c:pt>
                <c:pt idx="78">
                  <c:v>98.1507580880634</c:v>
                </c:pt>
                <c:pt idx="79">
                  <c:v>98.2202784606926</c:v>
                </c:pt>
                <c:pt idx="80">
                  <c:v>98.2897988333218</c:v>
                </c:pt>
                <c:pt idx="81">
                  <c:v>98.3586872025634</c:v>
                </c:pt>
                <c:pt idx="82">
                  <c:v>98.4218875413172</c:v>
                </c:pt>
                <c:pt idx="83">
                  <c:v>98.485087880071</c:v>
                </c:pt>
                <c:pt idx="84">
                  <c:v>98.5482882188248</c:v>
                </c:pt>
                <c:pt idx="85">
                  <c:v>98.6114885575787</c:v>
                </c:pt>
                <c:pt idx="86">
                  <c:v>98.6746888963325</c:v>
                </c:pt>
                <c:pt idx="87">
                  <c:v>98.7378892350863</c:v>
                </c:pt>
                <c:pt idx="88">
                  <c:v>98.8010895738401</c:v>
                </c:pt>
                <c:pt idx="89">
                  <c:v>98.8617618990438</c:v>
                </c:pt>
                <c:pt idx="90">
                  <c:v>98.914850183597</c:v>
                </c:pt>
                <c:pt idx="91">
                  <c:v>98.9654104546</c:v>
                </c:pt>
                <c:pt idx="92">
                  <c:v>99.0115467018903</c:v>
                </c:pt>
                <c:pt idx="93">
                  <c:v>99.055786939018</c:v>
                </c:pt>
                <c:pt idx="94">
                  <c:v>99.1000271761457</c:v>
                </c:pt>
                <c:pt idx="95">
                  <c:v>99.1379473793979</c:v>
                </c:pt>
                <c:pt idx="96">
                  <c:v>99.1758675826502</c:v>
                </c:pt>
                <c:pt idx="97">
                  <c:v>99.2137877859025</c:v>
                </c:pt>
                <c:pt idx="98">
                  <c:v>99.2517079891548</c:v>
                </c:pt>
              </c:numCache>
            </c:numRef>
          </c:val>
          <c:smooth val="0"/>
        </c:ser>
        <c:dLbls>
          <c:showLegendKey val="0"/>
          <c:showVal val="0"/>
          <c:showCatName val="0"/>
          <c:showSerName val="0"/>
          <c:showPercent val="0"/>
          <c:showBubbleSize val="0"/>
        </c:dLbls>
        <c:marker val="1"/>
        <c:smooth val="0"/>
        <c:axId val="389134896"/>
        <c:axId val="389125376"/>
      </c:lineChart>
      <c:catAx>
        <c:axId val="389134896"/>
        <c:scaling>
          <c:orientation val="minMax"/>
        </c:scaling>
        <c:delete val="1"/>
        <c:axPos val="b"/>
        <c:majorGridlines>
          <c:spPr>
            <a:ln w="9525" cap="flat" cmpd="sng" algn="ctr">
              <a:solidFill>
                <a:schemeClr val="bg2"/>
              </a:solidFill>
              <a:prstDash val="solid"/>
              <a:round/>
            </a:ln>
          </c:spPr>
        </c:majorGridlines>
        <c:title>
          <c:tx>
            <c:rich>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zh-CN" sz="1000"/>
                  <a:t>设计降雨深度</a:t>
                </a:r>
                <a:r>
                  <a:rPr lang="en-US" altLang="zh-CN" sz="1000"/>
                  <a:t>H</a:t>
                </a:r>
                <a:r>
                  <a:rPr lang="zh-CN" sz="1000"/>
                  <a:t>（</a:t>
                </a:r>
                <a:r>
                  <a:rPr lang="en-US" sz="1000"/>
                  <a:t>mm</a:t>
                </a:r>
                <a:r>
                  <a:rPr lang="zh-CN" sz="1000"/>
                  <a:t>）</a:t>
                </a:r>
                <a:endParaRPr lang="zh-CN" sz="1000"/>
              </a:p>
            </c:rich>
          </c:tx>
          <c:layout>
            <c:manualLayout>
              <c:xMode val="edge"/>
              <c:yMode val="edge"/>
              <c:x val="0.400324784354215"/>
              <c:y val="0.909334282741471"/>
            </c:manualLayout>
          </c:layout>
          <c:overlay val="0"/>
          <c:spPr>
            <a:noFill/>
            <a:ln w="25400">
              <a:noFill/>
            </a:ln>
          </c:spPr>
        </c:title>
        <c:numFmt formatCode="General" sourceLinked="1"/>
        <c:majorTickMark val="out"/>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Times New Roman" panose="02020603050405020304" charset="0"/>
                <a:ea typeface="+mn-ea"/>
                <a:cs typeface="Times New Roman" panose="02020603050405020304" charset="0"/>
              </a:defRPr>
            </a:pPr>
          </a:p>
        </c:txPr>
        <c:crossAx val="389125376"/>
        <c:crosses val="autoZero"/>
        <c:auto val="0"/>
        <c:lblAlgn val="ctr"/>
        <c:lblOffset val="100"/>
        <c:tickLblSkip val="10"/>
        <c:tickMarkSkip val="10"/>
        <c:noMultiLvlLbl val="0"/>
      </c:catAx>
      <c:valAx>
        <c:axId val="389125376"/>
        <c:scaling>
          <c:orientation val="minMax"/>
          <c:max val="100"/>
          <c:min val="0"/>
        </c:scaling>
        <c:delete val="0"/>
        <c:axPos val="l"/>
        <c:majorGridlines>
          <c:spPr>
            <a:ln w="9525" cap="flat" cmpd="sng" algn="ctr">
              <a:solidFill>
                <a:schemeClr val="bg2"/>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zh-CN" sz="1000"/>
                  <a:t>雨水年径流总量控制率</a:t>
                </a:r>
                <a:r>
                  <a:rPr lang="en-US" sz="1000" b="0" i="0" u="none" strike="noStrike" baseline="0">
                    <a:effectLst/>
                  </a:rPr>
                  <a:t>α</a:t>
                </a:r>
                <a:r>
                  <a:rPr lang="zh-CN" sz="1000"/>
                  <a:t>（</a:t>
                </a:r>
                <a:r>
                  <a:rPr lang="en-US" sz="1000"/>
                  <a:t>%</a:t>
                </a:r>
                <a:r>
                  <a:rPr lang="zh-CN" sz="1000"/>
                  <a:t>）</a:t>
                </a:r>
                <a:endParaRPr lang="zh-CN" sz="1000"/>
              </a:p>
            </c:rich>
          </c:tx>
          <c:layout>
            <c:manualLayout>
              <c:xMode val="edge"/>
              <c:yMode val="edge"/>
              <c:x val="0.0160492522327327"/>
              <c:y val="0.0562403197833486"/>
            </c:manualLayout>
          </c:layout>
          <c:overlay val="0"/>
          <c:spPr>
            <a:noFill/>
            <a:ln w="25400">
              <a:noFill/>
            </a:ln>
          </c:spPr>
        </c:title>
        <c:numFmt formatCode="0_ " sourceLinked="0"/>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9134896"/>
        <c:crosses val="autoZero"/>
        <c:crossBetween val="between"/>
        <c:majorUnit val="10"/>
      </c:valAx>
      <c:spPr>
        <a:solidFill>
          <a:srgbClr val="FFFFFF"/>
        </a:solidFill>
        <a:ln>
          <a:solidFill>
            <a:sysClr val="windowText" lastClr="000000"/>
          </a:solidFill>
        </a:ln>
      </c:spPr>
    </c:plotArea>
    <c:plotVisOnly val="1"/>
    <c:dispBlanksAs val="gap"/>
    <c:showDLblsOverMax val="0"/>
  </c:chart>
  <c:spPr>
    <a:solidFill>
      <a:srgbClr val="FFFFFF"/>
    </a:solidFill>
    <a:ln w="9525" cap="flat" cmpd="sng" algn="ctr">
      <a:noFill/>
      <a:prstDash val="solid"/>
      <a:round/>
    </a:ln>
  </c:spPr>
  <c:txPr>
    <a:bodyPr/>
    <a:lstStyle/>
    <a:p>
      <a:pPr>
        <a:defRPr lang="zh-CN" sz="1200" b="0">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203032629339"/>
          <c:y val="0.0431297029487449"/>
          <c:w val="0.805180401733179"/>
          <c:h val="0.791099456387413"/>
        </c:manualLayout>
      </c:layout>
      <c:scatterChart>
        <c:scatterStyle val="smoothMarker"/>
        <c:varyColors val="0"/>
        <c:ser>
          <c:idx val="0"/>
          <c:order val="0"/>
          <c:tx>
            <c:strRef>
              <c:f>屋面</c:f>
              <c:strCache>
                <c:ptCount val="1"/>
                <c:pt idx="0">
                  <c:v>屋面</c:v>
                </c:pt>
              </c:strCache>
            </c:strRef>
          </c:tx>
          <c:spPr>
            <a:ln w="15875" cap="rnd" cmpd="sng" algn="ctr">
              <a:solidFill>
                <a:schemeClr val="tx1"/>
              </a:solidFill>
              <a:prstDash val="solid"/>
              <a:round/>
            </a:ln>
          </c:spPr>
          <c:marker>
            <c:symbol val="diamond"/>
            <c:size val="5"/>
            <c:spPr>
              <a:solidFill>
                <a:schemeClr val="tx1"/>
              </a:solidFill>
              <a:ln w="9525" cap="flat" cmpd="sng" algn="ctr">
                <a:solidFill>
                  <a:schemeClr val="tx1"/>
                </a:solidFill>
                <a:prstDash val="solid"/>
                <a:round/>
              </a:ln>
            </c:spPr>
          </c:marker>
          <c:dLbls>
            <c:delete val="1"/>
          </c:dLbls>
          <c:xVal>
            <c:numRef>
              <c:f>Sheet1!$C$14:$C$21</c:f>
              <c:numCache>
                <c:formatCode>General</c:formatCode>
                <c:ptCount val="8"/>
                <c:pt idx="0">
                  <c:v>3</c:v>
                </c:pt>
                <c:pt idx="1">
                  <c:v>8</c:v>
                </c:pt>
                <c:pt idx="2">
                  <c:v>10</c:v>
                </c:pt>
                <c:pt idx="3">
                  <c:v>12</c:v>
                </c:pt>
                <c:pt idx="4">
                  <c:v>16</c:v>
                </c:pt>
                <c:pt idx="5">
                  <c:v>20</c:v>
                </c:pt>
                <c:pt idx="6">
                  <c:v>26</c:v>
                </c:pt>
                <c:pt idx="7">
                  <c:v>32</c:v>
                </c:pt>
              </c:numCache>
            </c:numRef>
          </c:xVal>
          <c:yVal>
            <c:numRef>
              <c:f>Sheet1!$D$14:$D$21</c:f>
              <c:numCache>
                <c:formatCode>0.00_ </c:formatCode>
                <c:ptCount val="8"/>
                <c:pt idx="0">
                  <c:v>500</c:v>
                </c:pt>
                <c:pt idx="1">
                  <c:v>350</c:v>
                </c:pt>
                <c:pt idx="2">
                  <c:v>200</c:v>
                </c:pt>
                <c:pt idx="3">
                  <c:v>100</c:v>
                </c:pt>
                <c:pt idx="4">
                  <c:v>60</c:v>
                </c:pt>
                <c:pt idx="5">
                  <c:v>65</c:v>
                </c:pt>
                <c:pt idx="6">
                  <c:v>50</c:v>
                </c:pt>
                <c:pt idx="7">
                  <c:v>45</c:v>
                </c:pt>
              </c:numCache>
            </c:numRef>
          </c:yVal>
          <c:smooth val="1"/>
        </c:ser>
        <c:ser>
          <c:idx val="1"/>
          <c:order val="1"/>
          <c:tx>
            <c:strRef>
              <c:f>城市道路</c:f>
              <c:strCache>
                <c:ptCount val="1"/>
                <c:pt idx="0">
                  <c:v>城市道路</c:v>
                </c:pt>
              </c:strCache>
            </c:strRef>
          </c:tx>
          <c:spPr>
            <a:ln w="15875" cap="rnd" cmpd="sng" algn="ctr">
              <a:solidFill>
                <a:schemeClr val="tx1"/>
              </a:solidFill>
              <a:prstDash val="solid"/>
              <a:round/>
            </a:ln>
          </c:spPr>
          <c:marker>
            <c:symbol val="square"/>
            <c:size val="5"/>
            <c:spPr>
              <a:solidFill>
                <a:schemeClr val="tx1"/>
              </a:solidFill>
              <a:ln w="9525" cap="flat" cmpd="sng" algn="ctr">
                <a:solidFill>
                  <a:schemeClr val="tx1"/>
                </a:solidFill>
                <a:prstDash val="solid"/>
                <a:round/>
              </a:ln>
            </c:spPr>
          </c:marker>
          <c:dLbls>
            <c:delete val="1"/>
          </c:dLbls>
          <c:xVal>
            <c:numRef>
              <c:f>Sheet1!$C$2:$C$9</c:f>
              <c:numCache>
                <c:formatCode>General</c:formatCode>
                <c:ptCount val="8"/>
                <c:pt idx="0">
                  <c:v>3</c:v>
                </c:pt>
                <c:pt idx="1">
                  <c:v>8</c:v>
                </c:pt>
                <c:pt idx="2">
                  <c:v>10</c:v>
                </c:pt>
                <c:pt idx="3">
                  <c:v>12</c:v>
                </c:pt>
                <c:pt idx="4">
                  <c:v>16</c:v>
                </c:pt>
                <c:pt idx="5">
                  <c:v>20</c:v>
                </c:pt>
                <c:pt idx="6">
                  <c:v>26</c:v>
                </c:pt>
                <c:pt idx="7">
                  <c:v>32</c:v>
                </c:pt>
              </c:numCache>
            </c:numRef>
          </c:xVal>
          <c:yVal>
            <c:numRef>
              <c:f>Sheet1!$D$2:$D$9</c:f>
              <c:numCache>
                <c:formatCode>0.00_ </c:formatCode>
                <c:ptCount val="8"/>
                <c:pt idx="0">
                  <c:v>1600</c:v>
                </c:pt>
                <c:pt idx="1">
                  <c:v>1200</c:v>
                </c:pt>
                <c:pt idx="2">
                  <c:v>800</c:v>
                </c:pt>
                <c:pt idx="3">
                  <c:v>380</c:v>
                </c:pt>
                <c:pt idx="4">
                  <c:v>250</c:v>
                </c:pt>
                <c:pt idx="5">
                  <c:v>200</c:v>
                </c:pt>
                <c:pt idx="6">
                  <c:v>180</c:v>
                </c:pt>
                <c:pt idx="7">
                  <c:v>150</c:v>
                </c:pt>
              </c:numCache>
            </c:numRef>
          </c:yVal>
          <c:smooth val="1"/>
        </c:ser>
        <c:dLbls>
          <c:showLegendKey val="0"/>
          <c:showVal val="0"/>
          <c:showCatName val="0"/>
          <c:showSerName val="0"/>
          <c:showPercent val="0"/>
          <c:showBubbleSize val="0"/>
        </c:dLbls>
        <c:axId val="390337632"/>
        <c:axId val="390348832"/>
      </c:scatterChart>
      <c:valAx>
        <c:axId val="390337632"/>
        <c:scaling>
          <c:orientation val="minMax"/>
          <c:max val="35"/>
        </c:scaling>
        <c:delete val="0"/>
        <c:axPos val="b"/>
        <c:majorGridlines>
          <c:spPr>
            <a:ln w="9525" cap="flat" cmpd="sng" algn="ctr">
              <a:solidFill>
                <a:schemeClr val="bg2"/>
              </a:solidFill>
              <a:prstDash val="solid"/>
              <a:round/>
            </a:ln>
          </c:spPr>
        </c:majorGridlines>
        <c:title>
          <c:tx>
            <c:rich>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zh-CN"/>
                  <a:t>降雨</a:t>
                </a:r>
                <a:r>
                  <a:rPr lang="zh-CN" altLang="en-US"/>
                  <a:t>深度</a:t>
                </a:r>
                <a:r>
                  <a:rPr lang="zh-CN"/>
                  <a:t>（</a:t>
                </a:r>
                <a:r>
                  <a:rPr lang="en-US"/>
                  <a:t>mm</a:t>
                </a:r>
                <a:r>
                  <a:rPr lang="zh-CN"/>
                  <a:t>）</a:t>
                </a:r>
                <a:endParaRPr lang="zh-CN"/>
              </a:p>
            </c:rich>
          </c:tx>
          <c:layout>
            <c:manualLayout>
              <c:xMode val="edge"/>
              <c:yMode val="edge"/>
              <c:x val="0.449726570904116"/>
              <c:y val="0.921063990656157"/>
            </c:manualLayout>
          </c:layout>
          <c:overlay val="0"/>
        </c:title>
        <c:numFmt formatCode="General" sourceLinked="1"/>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0348832"/>
        <c:crosses val="autoZero"/>
        <c:crossBetween val="midCat"/>
        <c:majorUnit val="5"/>
      </c:valAx>
      <c:valAx>
        <c:axId val="390348832"/>
        <c:scaling>
          <c:orientation val="minMax"/>
          <c:max val="1800"/>
        </c:scaling>
        <c:delete val="0"/>
        <c:axPos val="l"/>
        <c:majorGridlines>
          <c:spPr>
            <a:ln w="9525" cap="flat" cmpd="sng" algn="ctr">
              <a:solidFill>
                <a:schemeClr val="bg2"/>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zh-CN"/>
                  <a:t>SS</a:t>
                </a:r>
                <a:r>
                  <a:rPr lang="zh-CN"/>
                  <a:t>浓度（</a:t>
                </a:r>
                <a:r>
                  <a:rPr lang="en-US"/>
                  <a:t>mg/L</a:t>
                </a:r>
                <a:r>
                  <a:rPr lang="zh-CN"/>
                  <a:t>）</a:t>
                </a:r>
                <a:endParaRPr lang="zh-CN"/>
              </a:p>
            </c:rich>
          </c:tx>
          <c:layout>
            <c:manualLayout>
              <c:xMode val="edge"/>
              <c:yMode val="edge"/>
              <c:x val="0.015329820466313"/>
              <c:y val="0.232829802611512"/>
            </c:manualLayout>
          </c:layout>
          <c:overlay val="0"/>
        </c:title>
        <c:numFmt formatCode="0_ " sourceLinked="0"/>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0337632"/>
        <c:crosses val="autoZero"/>
        <c:crossBetween val="midCat"/>
        <c:majorUnit val="200"/>
      </c:valAx>
      <c:spPr>
        <a:solidFill>
          <a:srgbClr val="FFFFFF"/>
        </a:solidFill>
        <a:ln>
          <a:solidFill>
            <a:schemeClr val="tx1"/>
          </a:solidFill>
        </a:ln>
      </c:spPr>
    </c:plotArea>
    <c:legend>
      <c:legendPos val="r"/>
      <c:layout>
        <c:manualLayout>
          <c:xMode val="edge"/>
          <c:yMode val="edge"/>
          <c:x val="0.618694567915969"/>
          <c:y val="0.347765468187683"/>
          <c:w val="0.211493653108776"/>
          <c:h val="0.14349840283321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prstDash val="solid"/>
      <a:round/>
    </a:ln>
  </c:spPr>
  <c:txPr>
    <a:bodyPr/>
    <a:lstStyle/>
    <a:p>
      <a:pPr>
        <a:defRPr lang="zh-CN" sz="1000" b="0">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1753445433"/>
          <c:y val="0.0431297029487449"/>
          <c:w val="0.82596573524614"/>
          <c:h val="0.791099456387413"/>
        </c:manualLayout>
      </c:layout>
      <c:scatterChart>
        <c:scatterStyle val="smoothMarker"/>
        <c:varyColors val="0"/>
        <c:ser>
          <c:idx val="2"/>
          <c:order val="0"/>
          <c:tx>
            <c:strRef>
              <c:f>屋面</c:f>
              <c:strCache>
                <c:ptCount val="1"/>
                <c:pt idx="0">
                  <c:v>屋面</c:v>
                </c:pt>
              </c:strCache>
            </c:strRef>
          </c:tx>
          <c:spPr>
            <a:ln w="15875" cap="rnd" cmpd="sng" algn="ctr">
              <a:solidFill>
                <a:schemeClr val="tx1"/>
              </a:solidFill>
              <a:prstDash val="solid"/>
              <a:round/>
            </a:ln>
          </c:spPr>
          <c:marker>
            <c:symbol val="triangle"/>
            <c:size val="5"/>
            <c:spPr>
              <a:solidFill>
                <a:schemeClr val="tx1"/>
              </a:solidFill>
              <a:ln w="9525" cap="flat" cmpd="sng" algn="ctr">
                <a:solidFill>
                  <a:schemeClr val="tx1"/>
                </a:solidFill>
                <a:prstDash val="solid"/>
                <a:round/>
              </a:ln>
            </c:spPr>
          </c:marker>
          <c:dLbls>
            <c:delete val="1"/>
          </c:dLbls>
          <c:xVal>
            <c:numRef>
              <c:f>Sheet1!$C$14:$C$21</c:f>
              <c:numCache>
                <c:formatCode>General</c:formatCode>
                <c:ptCount val="8"/>
                <c:pt idx="0">
                  <c:v>3</c:v>
                </c:pt>
                <c:pt idx="1">
                  <c:v>8</c:v>
                </c:pt>
                <c:pt idx="2">
                  <c:v>10</c:v>
                </c:pt>
                <c:pt idx="3">
                  <c:v>12</c:v>
                </c:pt>
                <c:pt idx="4">
                  <c:v>16</c:v>
                </c:pt>
                <c:pt idx="5">
                  <c:v>20</c:v>
                </c:pt>
                <c:pt idx="6">
                  <c:v>26</c:v>
                </c:pt>
                <c:pt idx="7">
                  <c:v>32</c:v>
                </c:pt>
              </c:numCache>
            </c:numRef>
          </c:xVal>
          <c:yVal>
            <c:numRef>
              <c:f>Sheet1!$F$14:$F$21</c:f>
              <c:numCache>
                <c:formatCode>0.00_ </c:formatCode>
                <c:ptCount val="8"/>
                <c:pt idx="0">
                  <c:v>33.3333333333333</c:v>
                </c:pt>
                <c:pt idx="1">
                  <c:v>48.8888888888889</c:v>
                </c:pt>
                <c:pt idx="2">
                  <c:v>57.7777777777778</c:v>
                </c:pt>
                <c:pt idx="3">
                  <c:v>66.6666666666667</c:v>
                </c:pt>
                <c:pt idx="4">
                  <c:v>72</c:v>
                </c:pt>
                <c:pt idx="5">
                  <c:v>80.6666666666667</c:v>
                </c:pt>
                <c:pt idx="6">
                  <c:v>87.3333333333333</c:v>
                </c:pt>
                <c:pt idx="7">
                  <c:v>93.3333333333333</c:v>
                </c:pt>
              </c:numCache>
            </c:numRef>
          </c:yVal>
          <c:smooth val="1"/>
        </c:ser>
        <c:ser>
          <c:idx val="1"/>
          <c:order val="1"/>
          <c:tx>
            <c:strRef>
              <c:f>城市道路</c:f>
              <c:strCache>
                <c:ptCount val="1"/>
                <c:pt idx="0">
                  <c:v>城市道路</c:v>
                </c:pt>
              </c:strCache>
            </c:strRef>
          </c:tx>
          <c:spPr>
            <a:ln w="15875" cap="rnd" cmpd="sng" algn="ctr">
              <a:solidFill>
                <a:schemeClr val="tx1"/>
              </a:solidFill>
              <a:prstDash val="solid"/>
              <a:round/>
            </a:ln>
          </c:spPr>
          <c:marker>
            <c:symbol val="square"/>
            <c:size val="5"/>
            <c:spPr>
              <a:solidFill>
                <a:schemeClr val="tx1"/>
              </a:solidFill>
              <a:ln w="9525" cap="flat" cmpd="sng" algn="ctr">
                <a:solidFill>
                  <a:schemeClr val="tx1"/>
                </a:solidFill>
                <a:prstDash val="solid"/>
                <a:round/>
              </a:ln>
            </c:spPr>
          </c:marker>
          <c:dLbls>
            <c:delete val="1"/>
          </c:dLbls>
          <c:xVal>
            <c:numRef>
              <c:f>Sheet1!$C$2:$C$9</c:f>
              <c:numCache>
                <c:formatCode>General</c:formatCode>
                <c:ptCount val="8"/>
                <c:pt idx="0">
                  <c:v>3</c:v>
                </c:pt>
                <c:pt idx="1">
                  <c:v>8</c:v>
                </c:pt>
                <c:pt idx="2">
                  <c:v>10</c:v>
                </c:pt>
                <c:pt idx="3">
                  <c:v>12</c:v>
                </c:pt>
                <c:pt idx="4">
                  <c:v>16</c:v>
                </c:pt>
                <c:pt idx="5">
                  <c:v>20</c:v>
                </c:pt>
                <c:pt idx="6">
                  <c:v>26</c:v>
                </c:pt>
                <c:pt idx="7">
                  <c:v>32</c:v>
                </c:pt>
              </c:numCache>
            </c:numRef>
          </c:xVal>
          <c:yVal>
            <c:numRef>
              <c:f>Sheet1!$F$2:$F$9</c:f>
              <c:numCache>
                <c:formatCode>0.00_ </c:formatCode>
                <c:ptCount val="8"/>
                <c:pt idx="0">
                  <c:v>32</c:v>
                </c:pt>
                <c:pt idx="1">
                  <c:v>48</c:v>
                </c:pt>
                <c:pt idx="2">
                  <c:v>58.6666666666667</c:v>
                </c:pt>
                <c:pt idx="3">
                  <c:v>68.8</c:v>
                </c:pt>
                <c:pt idx="4">
                  <c:v>75.4666666666667</c:v>
                </c:pt>
                <c:pt idx="5">
                  <c:v>83.4666666666667</c:v>
                </c:pt>
                <c:pt idx="6">
                  <c:v>90.6666666666667</c:v>
                </c:pt>
                <c:pt idx="7">
                  <c:v>96.6666666666667</c:v>
                </c:pt>
              </c:numCache>
            </c:numRef>
          </c:yVal>
          <c:smooth val="1"/>
        </c:ser>
        <c:dLbls>
          <c:showLegendKey val="0"/>
          <c:showVal val="0"/>
          <c:showCatName val="0"/>
          <c:showSerName val="0"/>
          <c:showPercent val="0"/>
          <c:showBubbleSize val="0"/>
        </c:dLbls>
        <c:axId val="390347152"/>
        <c:axId val="390346032"/>
      </c:scatterChart>
      <c:valAx>
        <c:axId val="390347152"/>
        <c:scaling>
          <c:orientation val="minMax"/>
          <c:max val="35"/>
        </c:scaling>
        <c:delete val="0"/>
        <c:axPos val="b"/>
        <c:majorGridlines>
          <c:spPr>
            <a:ln w="9525" cap="flat" cmpd="sng" algn="ctr">
              <a:solidFill>
                <a:schemeClr val="bg2"/>
              </a:solidFill>
              <a:prstDash val="solid"/>
              <a:round/>
            </a:ln>
          </c:spPr>
        </c:majorGridlines>
        <c:title>
          <c:tx>
            <c:rich>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zh-CN"/>
                  <a:t>降雨</a:t>
                </a:r>
                <a:r>
                  <a:rPr lang="zh-CN" altLang="en-US"/>
                  <a:t>深度</a:t>
                </a:r>
                <a:r>
                  <a:rPr lang="zh-CN"/>
                  <a:t>（</a:t>
                </a:r>
                <a:r>
                  <a:rPr lang="en-US"/>
                  <a:t>mm</a:t>
                </a:r>
                <a:r>
                  <a:rPr lang="zh-CN"/>
                  <a:t>）</a:t>
                </a:r>
                <a:endParaRPr lang="zh-CN"/>
              </a:p>
            </c:rich>
          </c:tx>
          <c:layout>
            <c:manualLayout>
              <c:xMode val="edge"/>
              <c:yMode val="edge"/>
              <c:x val="0.458547625622928"/>
              <c:y val="0.91389820290149"/>
            </c:manualLayout>
          </c:layout>
          <c:overlay val="0"/>
        </c:title>
        <c:numFmt formatCode="General" sourceLinked="1"/>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0346032"/>
        <c:crosses val="autoZero"/>
        <c:crossBetween val="midCat"/>
        <c:majorUnit val="5"/>
      </c:valAx>
      <c:valAx>
        <c:axId val="390346032"/>
        <c:scaling>
          <c:orientation val="minMax"/>
          <c:max val="100"/>
        </c:scaling>
        <c:delete val="0"/>
        <c:axPos val="l"/>
        <c:majorGridlines>
          <c:spPr>
            <a:ln w="9525" cap="flat" cmpd="sng" algn="ctr">
              <a:solidFill>
                <a:schemeClr val="bg2"/>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zh-CN"/>
                  <a:t>SS</a:t>
                </a:r>
                <a:r>
                  <a:rPr lang="zh-CN" altLang="en-US"/>
                  <a:t>污染负荷率（</a:t>
                </a:r>
                <a:r>
                  <a:rPr lang="en-US" altLang="zh-CN"/>
                  <a:t>%</a:t>
                </a:r>
                <a:r>
                  <a:rPr lang="zh-CN" altLang="en-US"/>
                  <a:t>）</a:t>
                </a:r>
                <a:endParaRPr lang="zh-CN"/>
              </a:p>
            </c:rich>
          </c:tx>
          <c:layout>
            <c:manualLayout>
              <c:xMode val="edge"/>
              <c:yMode val="edge"/>
              <c:x val="0.015329820466313"/>
              <c:y val="0.232829802611512"/>
            </c:manualLayout>
          </c:layout>
          <c:overlay val="0"/>
        </c:title>
        <c:numFmt formatCode="0_ " sourceLinked="0"/>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0347152"/>
        <c:crosses val="autoZero"/>
        <c:crossBetween val="midCat"/>
      </c:valAx>
      <c:spPr>
        <a:noFill/>
        <a:ln>
          <a:solidFill>
            <a:schemeClr val="tx1"/>
          </a:solidFill>
        </a:ln>
      </c:spPr>
    </c:plotArea>
    <c:legend>
      <c:legendPos val="r"/>
      <c:layout>
        <c:manualLayout>
          <c:xMode val="edge"/>
          <c:yMode val="edge"/>
          <c:x val="0.630644734637734"/>
          <c:y val="0.458908933041091"/>
          <c:w val="0.226492800521995"/>
          <c:h val="0.17294404435112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prstDash val="solid"/>
      <a:round/>
    </a:ln>
  </c:spPr>
  <c:txPr>
    <a:bodyPr/>
    <a:lstStyle/>
    <a:p>
      <a:pPr>
        <a:defRPr lang="zh-CN" sz="1000" b="0">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04929277855"/>
          <c:y val="0.0431297029487449"/>
          <c:w val="0.828478235731755"/>
          <c:h val="0.791099456387413"/>
        </c:manualLayout>
      </c:layout>
      <c:scatterChart>
        <c:scatterStyle val="smoothMarker"/>
        <c:varyColors val="0"/>
        <c:ser>
          <c:idx val="2"/>
          <c:order val="0"/>
          <c:tx>
            <c:strRef>
              <c:f>屋面</c:f>
              <c:strCache>
                <c:ptCount val="1"/>
                <c:pt idx="0">
                  <c:v>屋面</c:v>
                </c:pt>
              </c:strCache>
            </c:strRef>
          </c:tx>
          <c:spPr>
            <a:ln w="15875" cap="rnd" cmpd="sng" algn="ctr">
              <a:solidFill>
                <a:schemeClr val="tx1"/>
              </a:solidFill>
              <a:prstDash val="solid"/>
              <a:round/>
            </a:ln>
          </c:spPr>
          <c:marker>
            <c:symbol val="triangle"/>
            <c:size val="5"/>
            <c:spPr>
              <a:solidFill>
                <a:schemeClr val="tx1"/>
              </a:solidFill>
              <a:ln w="9525" cap="flat" cmpd="sng" algn="ctr">
                <a:solidFill>
                  <a:schemeClr val="tx1"/>
                </a:solidFill>
                <a:prstDash val="solid"/>
                <a:round/>
              </a:ln>
            </c:spPr>
          </c:marker>
          <c:dLbls>
            <c:delete val="1"/>
          </c:dLbls>
          <c:xVal>
            <c:numRef>
              <c:f>Sheet1!$C$14:$C$21</c:f>
              <c:numCache>
                <c:formatCode>General</c:formatCode>
                <c:ptCount val="8"/>
                <c:pt idx="0">
                  <c:v>3</c:v>
                </c:pt>
                <c:pt idx="1">
                  <c:v>8</c:v>
                </c:pt>
                <c:pt idx="2">
                  <c:v>10</c:v>
                </c:pt>
                <c:pt idx="3">
                  <c:v>12</c:v>
                </c:pt>
                <c:pt idx="4">
                  <c:v>16</c:v>
                </c:pt>
                <c:pt idx="5">
                  <c:v>20</c:v>
                </c:pt>
                <c:pt idx="6">
                  <c:v>26</c:v>
                </c:pt>
                <c:pt idx="7">
                  <c:v>32</c:v>
                </c:pt>
              </c:numCache>
            </c:numRef>
          </c:xVal>
          <c:yVal>
            <c:numRef>
              <c:f>Sheet1!$G$14:$G$21</c:f>
              <c:numCache>
                <c:formatCode>0.00_ </c:formatCode>
                <c:ptCount val="8"/>
                <c:pt idx="0">
                  <c:v>30</c:v>
                </c:pt>
                <c:pt idx="1">
                  <c:v>44</c:v>
                </c:pt>
                <c:pt idx="2">
                  <c:v>52</c:v>
                </c:pt>
                <c:pt idx="3">
                  <c:v>60</c:v>
                </c:pt>
                <c:pt idx="4">
                  <c:v>64.8</c:v>
                </c:pt>
                <c:pt idx="5">
                  <c:v>72.6</c:v>
                </c:pt>
                <c:pt idx="6">
                  <c:v>78.6</c:v>
                </c:pt>
                <c:pt idx="7">
                  <c:v>84</c:v>
                </c:pt>
              </c:numCache>
            </c:numRef>
          </c:yVal>
          <c:smooth val="1"/>
        </c:ser>
        <c:ser>
          <c:idx val="1"/>
          <c:order val="1"/>
          <c:tx>
            <c:strRef>
              <c:f>城市道路</c:f>
              <c:strCache>
                <c:ptCount val="1"/>
                <c:pt idx="0">
                  <c:v>城市道路</c:v>
                </c:pt>
              </c:strCache>
            </c:strRef>
          </c:tx>
          <c:spPr>
            <a:ln w="15875" cap="rnd" cmpd="sng" algn="ctr">
              <a:solidFill>
                <a:schemeClr val="tx1"/>
              </a:solidFill>
              <a:prstDash val="solid"/>
              <a:round/>
            </a:ln>
          </c:spPr>
          <c:marker>
            <c:symbol val="square"/>
            <c:size val="5"/>
            <c:spPr>
              <a:solidFill>
                <a:schemeClr val="tx1"/>
              </a:solidFill>
              <a:ln w="9525" cap="flat" cmpd="sng" algn="ctr">
                <a:solidFill>
                  <a:schemeClr val="tx1"/>
                </a:solidFill>
                <a:prstDash val="solid"/>
                <a:round/>
              </a:ln>
            </c:spPr>
          </c:marker>
          <c:dLbls>
            <c:delete val="1"/>
          </c:dLbls>
          <c:xVal>
            <c:numRef>
              <c:f>Sheet1!$C$2:$C$9</c:f>
              <c:numCache>
                <c:formatCode>General</c:formatCode>
                <c:ptCount val="8"/>
                <c:pt idx="0">
                  <c:v>3</c:v>
                </c:pt>
                <c:pt idx="1">
                  <c:v>8</c:v>
                </c:pt>
                <c:pt idx="2">
                  <c:v>10</c:v>
                </c:pt>
                <c:pt idx="3">
                  <c:v>12</c:v>
                </c:pt>
                <c:pt idx="4">
                  <c:v>16</c:v>
                </c:pt>
                <c:pt idx="5">
                  <c:v>20</c:v>
                </c:pt>
                <c:pt idx="6">
                  <c:v>26</c:v>
                </c:pt>
                <c:pt idx="7">
                  <c:v>32</c:v>
                </c:pt>
              </c:numCache>
            </c:numRef>
          </c:xVal>
          <c:yVal>
            <c:numRef>
              <c:f>Sheet1!$G$2:$G$9</c:f>
              <c:numCache>
                <c:formatCode>0.00_ </c:formatCode>
                <c:ptCount val="8"/>
                <c:pt idx="0">
                  <c:v>28.8</c:v>
                </c:pt>
                <c:pt idx="1">
                  <c:v>43.2</c:v>
                </c:pt>
                <c:pt idx="2">
                  <c:v>52.8</c:v>
                </c:pt>
                <c:pt idx="3">
                  <c:v>61.92</c:v>
                </c:pt>
                <c:pt idx="4">
                  <c:v>67.92</c:v>
                </c:pt>
                <c:pt idx="5">
                  <c:v>75.12</c:v>
                </c:pt>
                <c:pt idx="6">
                  <c:v>81.6</c:v>
                </c:pt>
                <c:pt idx="7">
                  <c:v>87</c:v>
                </c:pt>
              </c:numCache>
            </c:numRef>
          </c:yVal>
          <c:smooth val="1"/>
        </c:ser>
        <c:dLbls>
          <c:showLegendKey val="0"/>
          <c:showVal val="0"/>
          <c:showCatName val="0"/>
          <c:showSerName val="0"/>
          <c:showPercent val="0"/>
          <c:showBubbleSize val="0"/>
        </c:dLbls>
        <c:axId val="396657200"/>
        <c:axId val="396660560"/>
      </c:scatterChart>
      <c:valAx>
        <c:axId val="396657200"/>
        <c:scaling>
          <c:orientation val="minMax"/>
          <c:max val="35"/>
        </c:scaling>
        <c:delete val="0"/>
        <c:axPos val="b"/>
        <c:majorGridlines>
          <c:spPr>
            <a:ln w="9525" cap="flat" cmpd="sng" algn="ctr">
              <a:solidFill>
                <a:schemeClr val="bg2"/>
              </a:solidFill>
              <a:prstDash val="solid"/>
              <a:round/>
            </a:ln>
          </c:spPr>
        </c:majorGridlines>
        <c:title>
          <c:tx>
            <c:rich>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zh-CN"/>
                  <a:t>降雨</a:t>
                </a:r>
                <a:r>
                  <a:rPr lang="zh-CN" altLang="en-US"/>
                  <a:t>深度</a:t>
                </a:r>
                <a:r>
                  <a:rPr lang="zh-CN"/>
                  <a:t>（</a:t>
                </a:r>
                <a:r>
                  <a:rPr lang="en-US"/>
                  <a:t>mm</a:t>
                </a:r>
                <a:r>
                  <a:rPr lang="zh-CN"/>
                  <a:t>）</a:t>
                </a:r>
                <a:endParaRPr lang="zh-CN"/>
              </a:p>
            </c:rich>
          </c:tx>
          <c:layout>
            <c:manualLayout>
              <c:xMode val="edge"/>
              <c:yMode val="edge"/>
              <c:x val="0.458547625622928"/>
              <c:y val="0.91389820290149"/>
            </c:manualLayout>
          </c:layout>
          <c:overlay val="0"/>
        </c:title>
        <c:numFmt formatCode="General" sourceLinked="1"/>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6660560"/>
        <c:crosses val="autoZero"/>
        <c:crossBetween val="midCat"/>
        <c:majorUnit val="5"/>
      </c:valAx>
      <c:valAx>
        <c:axId val="396660560"/>
        <c:scaling>
          <c:orientation val="minMax"/>
          <c:max val="100"/>
        </c:scaling>
        <c:delete val="0"/>
        <c:axPos val="l"/>
        <c:majorGridlines>
          <c:spPr>
            <a:ln w="9525" cap="flat" cmpd="sng" algn="ctr">
              <a:solidFill>
                <a:schemeClr val="bg2"/>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zh-CN"/>
                  <a:t>SS</a:t>
                </a:r>
                <a:r>
                  <a:rPr lang="zh-CN" altLang="en-US"/>
                  <a:t>总量削减率（</a:t>
                </a:r>
                <a:r>
                  <a:rPr lang="en-US" altLang="zh-CN"/>
                  <a:t>%</a:t>
                </a:r>
                <a:r>
                  <a:rPr lang="zh-CN" altLang="en-US"/>
                  <a:t>）</a:t>
                </a:r>
                <a:endParaRPr lang="zh-CN"/>
              </a:p>
            </c:rich>
          </c:tx>
          <c:layout>
            <c:manualLayout>
              <c:xMode val="edge"/>
              <c:yMode val="edge"/>
              <c:x val="0.015329820466313"/>
              <c:y val="0.232829802611512"/>
            </c:manualLayout>
          </c:layout>
          <c:overlay val="0"/>
        </c:title>
        <c:numFmt formatCode="0_ " sourceLinked="0"/>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96657200"/>
        <c:crosses val="autoZero"/>
        <c:crossBetween val="midCat"/>
      </c:valAx>
      <c:spPr>
        <a:noFill/>
        <a:ln>
          <a:solidFill>
            <a:schemeClr val="tx1"/>
          </a:solidFill>
        </a:ln>
      </c:spPr>
    </c:plotArea>
    <c:legend>
      <c:legendPos val="r"/>
      <c:layout>
        <c:manualLayout>
          <c:xMode val="edge"/>
          <c:yMode val="edge"/>
          <c:x val="0.618694567915969"/>
          <c:y val="0.432999804580707"/>
          <c:w val="0.250896377775288"/>
          <c:h val="0.19242878545922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prstDash val="solid"/>
      <a:round/>
    </a:ln>
  </c:spPr>
  <c:txPr>
    <a:bodyPr/>
    <a:lstStyle/>
    <a:p>
      <a:pPr>
        <a:defRPr lang="zh-CN" sz="1000" b="0">
          <a:latin typeface="Times New Roman" panose="02020603050405020304" charset="0"/>
          <a:cs typeface="Times New Roman" panose="02020603050405020304" charset="0"/>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0.00703</cdr:x>
      <cdr:y>0.30561</cdr:y>
    </cdr:from>
    <cdr:to>
      <cdr:x>0.06269</cdr:x>
      <cdr:y>0.66807</cdr:y>
    </cdr:to>
    <cdr:sp>
      <cdr:nvSpPr>
        <cdr:cNvPr id="2" name="矩形 1"/>
        <cdr:cNvSpPr/>
      </cdr:nvSpPr>
      <cdr:spPr xmlns:a="http://schemas.openxmlformats.org/drawingml/2006/main">
        <a:xfrm xmlns:a="http://schemas.openxmlformats.org/drawingml/2006/main" rot="16200000">
          <a:off x="31369" y="786535"/>
          <a:ext cx="248292" cy="932850"/>
        </a:xfrm>
        <a:prstGeom xmlns:a="http://schemas.openxmlformats.org/drawingml/2006/main" prst="rect">
          <a:avLst/>
        </a:prstGeom>
        <a:noFill/>
        <a:ln w="9525">
          <a:noFill/>
          <a:miter lim="800000"/>
        </a:ln>
      </cdr:spPr>
      <cdr:txBody xmlns:a="http://schemas.openxmlformats.org/drawingml/2006/main">
        <a:bodyPr rot="0" vert="horz" wrap="square" lIns="91440" tIns="45720" rIns="91440" bIns="45720" anchor="t" anchorCtr="0">
          <a:noAutofit/>
        </a:bodyPr>
        <a:lstStyle/>
        <a:p>
          <a:r>
            <a:rPr lang="zh-CN" altLang="en-US" sz="1000" b="0">
              <a:latin typeface="Times New Roman" panose="02020603050405020304" charset="0"/>
              <a:ea typeface="+mn-ea"/>
              <a:cs typeface="Times New Roman" panose="02020603050405020304" charset="0"/>
            </a:rPr>
            <a:t>降雨量（</a:t>
          </a:r>
          <a:r>
            <a:rPr lang="en-US" altLang="zh-CN" sz="1000" b="0">
              <a:latin typeface="Times New Roman" panose="02020603050405020304" charset="0"/>
              <a:ea typeface="+mn-ea"/>
              <a:cs typeface="Times New Roman" panose="02020603050405020304" charset="0"/>
            </a:rPr>
            <a:t>mm</a:t>
          </a:r>
          <a:r>
            <a:rPr lang="zh-CN" altLang="en-US" sz="1000" b="0">
              <a:latin typeface="Times New Roman" panose="02020603050405020304" charset="0"/>
              <a:ea typeface="+mn-ea"/>
              <a:cs typeface="Times New Roman" panose="02020603050405020304" charset="0"/>
            </a:rPr>
            <a:t>）</a:t>
          </a:r>
          <a:endParaRPr lang="zh-CN" altLang="en-US" sz="1000" b="0">
            <a:latin typeface="Times New Roman" panose="02020603050405020304" charset="0"/>
            <a:ea typeface="+mn-ea"/>
            <a:cs typeface="Times New Roman" panose="02020603050405020304" charset="0"/>
          </a:endParaRPr>
        </a:p>
      </cdr:txBody>
    </cdr:sp>
  </cdr:relSizeAnchor>
  <cdr:relSizeAnchor xmlns:cdr="http://schemas.openxmlformats.org/drawingml/2006/chartDrawing">
    <cdr:from>
      <cdr:x>0.88364</cdr:x>
      <cdr:y>0.725</cdr:y>
    </cdr:from>
    <cdr:to>
      <cdr:x>0.96511</cdr:x>
      <cdr:y>0.82749</cdr:y>
    </cdr:to>
    <cdr:sp>
      <cdr:nvSpPr>
        <cdr:cNvPr id="3" name="矩形 2"/>
        <cdr:cNvSpPr/>
      </cdr:nvSpPr>
      <cdr:spPr xmlns:a="http://schemas.openxmlformats.org/drawingml/2006/main">
        <a:xfrm xmlns:a="http://schemas.openxmlformats.org/drawingml/2006/main">
          <a:off x="3941808" y="1865907"/>
          <a:ext cx="363427" cy="26377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000" b="1">
              <a:solidFill>
                <a:srgbClr val="FFFFFF"/>
              </a:solidFill>
              <a:latin typeface="+mn-ea"/>
              <a:ea typeface="+mn-ea"/>
            </a:rPr>
            <a:t>C2</a:t>
          </a:r>
          <a:endParaRPr lang="zh-CN" altLang="en-US" sz="1000" b="1">
            <a:solidFill>
              <a:srgbClr val="FFFFFF"/>
            </a:solidFill>
            <a:latin typeface="+mn-ea"/>
            <a:ea typeface="+mn-ea"/>
          </a:endParaRPr>
        </a:p>
      </cdr:txBody>
    </cdr:sp>
  </cdr:relSizeAnchor>
  <cdr:relSizeAnchor xmlns:cdr="http://schemas.openxmlformats.org/drawingml/2006/chartDrawing">
    <cdr:from>
      <cdr:x>0.88513</cdr:x>
      <cdr:y>0.60858</cdr:y>
    </cdr:from>
    <cdr:to>
      <cdr:x>0.9666</cdr:x>
      <cdr:y>0.71107</cdr:y>
    </cdr:to>
    <cdr:sp>
      <cdr:nvSpPr>
        <cdr:cNvPr id="4" name="矩形 3"/>
        <cdr:cNvSpPr/>
      </cdr:nvSpPr>
      <cdr:spPr xmlns:a="http://schemas.openxmlformats.org/drawingml/2006/main">
        <a:xfrm xmlns:a="http://schemas.openxmlformats.org/drawingml/2006/main">
          <a:off x="3948454" y="1566275"/>
          <a:ext cx="363428" cy="263774"/>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000" b="1">
              <a:solidFill>
                <a:srgbClr val="FFFFFF"/>
              </a:solidFill>
              <a:latin typeface="+mn-ea"/>
              <a:ea typeface="+mn-ea"/>
            </a:rPr>
            <a:t>C3</a:t>
          </a:r>
          <a:endParaRPr lang="zh-CN" altLang="en-US" sz="1000" b="1">
            <a:solidFill>
              <a:srgbClr val="FFFFFF"/>
            </a:solidFill>
            <a:latin typeface="+mn-ea"/>
            <a:ea typeface="+mn-ea"/>
          </a:endParaRPr>
        </a:p>
      </cdr:txBody>
    </cdr:sp>
  </cdr:relSizeAnchor>
  <cdr:relSizeAnchor xmlns:cdr="http://schemas.openxmlformats.org/drawingml/2006/chartDrawing">
    <cdr:from>
      <cdr:x>0.74368</cdr:x>
      <cdr:y>0.72774</cdr:y>
    </cdr:from>
    <cdr:to>
      <cdr:x>0.83435</cdr:x>
      <cdr:y>0.80973</cdr:y>
    </cdr:to>
    <cdr:sp>
      <cdr:nvSpPr>
        <cdr:cNvPr id="5" name="矩形 4"/>
        <cdr:cNvSpPr/>
      </cdr:nvSpPr>
      <cdr:spPr xmlns:a="http://schemas.openxmlformats.org/drawingml/2006/main">
        <a:xfrm xmlns:a="http://schemas.openxmlformats.org/drawingml/2006/main">
          <a:off x="3317449" y="1872964"/>
          <a:ext cx="404468" cy="211014"/>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000" b="1">
              <a:solidFill>
                <a:srgbClr val="FFFFFF"/>
              </a:solidFill>
              <a:latin typeface="+mn-ea"/>
              <a:ea typeface="+mn-ea"/>
            </a:rPr>
            <a:t>C1</a:t>
          </a:r>
          <a:endParaRPr lang="zh-CN" altLang="en-US" sz="1000" b="1">
            <a:solidFill>
              <a:srgbClr val="FFFFFF"/>
            </a:solidFill>
            <a:latin typeface="+mn-ea"/>
            <a:ea typeface="+mn-ea"/>
          </a:endParaRPr>
        </a:p>
      </cdr:txBody>
    </cdr:sp>
  </cdr:relSizeAnchor>
  <cdr:relSizeAnchor xmlns:cdr="http://schemas.openxmlformats.org/drawingml/2006/chartDrawing">
    <cdr:from>
      <cdr:x>0.07723</cdr:x>
      <cdr:y>0.64015</cdr:y>
    </cdr:from>
    <cdr:to>
      <cdr:x>0.12527</cdr:x>
      <cdr:y>0.73267</cdr:y>
    </cdr:to>
    <cdr:sp>
      <cdr:nvSpPr>
        <cdr:cNvPr id="6" name="矩形 5"/>
        <cdr:cNvSpPr/>
      </cdr:nvSpPr>
      <cdr:spPr xmlns:a="http://schemas.openxmlformats.org/drawingml/2006/main">
        <a:xfrm xmlns:a="http://schemas.openxmlformats.org/drawingml/2006/main">
          <a:off x="344499" y="1647515"/>
          <a:ext cx="214301" cy="23811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000" b="1">
              <a:latin typeface="Times New Roman" panose="02020603050405020304" charset="0"/>
              <a:ea typeface="+mn-ea"/>
              <a:cs typeface="Times New Roman" panose="02020603050405020304" charset="0"/>
            </a:rPr>
            <a:t>H</a:t>
          </a:r>
          <a:endParaRPr lang="zh-CN" altLang="en-US" sz="1000" b="1">
            <a:latin typeface="Times New Roman" panose="02020603050405020304" charset="0"/>
            <a:ea typeface="+mn-ea"/>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C08C5F6-BC33-4059-838F-A4FE35210611}">
  <ds:schemaRefs/>
</ds:datastoreItem>
</file>

<file path=customXml/itemProps11.xml><?xml version="1.0" encoding="utf-8"?>
<ds:datastoreItem xmlns:ds="http://schemas.openxmlformats.org/officeDocument/2006/customXml" ds:itemID="{4AC4E282-499F-409F-B670-943A4447D70C}">
  <ds:schemaRefs/>
</ds:datastoreItem>
</file>

<file path=customXml/itemProps12.xml><?xml version="1.0" encoding="utf-8"?>
<ds:datastoreItem xmlns:ds="http://schemas.openxmlformats.org/officeDocument/2006/customXml" ds:itemID="{83C6F5B5-B934-481F-A3F1-524451046A67}">
  <ds:schemaRefs/>
</ds:datastoreItem>
</file>

<file path=customXml/itemProps13.xml><?xml version="1.0" encoding="utf-8"?>
<ds:datastoreItem xmlns:ds="http://schemas.openxmlformats.org/officeDocument/2006/customXml" ds:itemID="{E0D9F54F-9088-45D7-B227-9D1990D191E5}">
  <ds:schemaRefs/>
</ds:datastoreItem>
</file>

<file path=customXml/itemProps14.xml><?xml version="1.0" encoding="utf-8"?>
<ds:datastoreItem xmlns:ds="http://schemas.openxmlformats.org/officeDocument/2006/customXml" ds:itemID="{FBC44007-7EAB-4A26-9B24-8838197EFA24}">
  <ds:schemaRefs/>
</ds:datastoreItem>
</file>

<file path=customXml/itemProps2.xml><?xml version="1.0" encoding="utf-8"?>
<ds:datastoreItem xmlns:ds="http://schemas.openxmlformats.org/officeDocument/2006/customXml" ds:itemID="{E7E035C4-89C1-4770-887D-25C8608A9827}">
  <ds:schemaRefs/>
</ds:datastoreItem>
</file>

<file path=customXml/itemProps3.xml><?xml version="1.0" encoding="utf-8"?>
<ds:datastoreItem xmlns:ds="http://schemas.openxmlformats.org/officeDocument/2006/customXml" ds:itemID="{66284136-95EA-4A33-88F3-B8224AD105F6}">
  <ds:schemaRefs/>
</ds:datastoreItem>
</file>

<file path=customXml/itemProps4.xml><?xml version="1.0" encoding="utf-8"?>
<ds:datastoreItem xmlns:ds="http://schemas.openxmlformats.org/officeDocument/2006/customXml" ds:itemID="{BA19AF8E-5239-4F5A-A112-F930ECABBAB4}">
  <ds:schemaRefs/>
</ds:datastoreItem>
</file>

<file path=customXml/itemProps5.xml><?xml version="1.0" encoding="utf-8"?>
<ds:datastoreItem xmlns:ds="http://schemas.openxmlformats.org/officeDocument/2006/customXml" ds:itemID="{8C22FF93-FBB2-42EE-A78F-F5CC763B9D9C}">
  <ds:schemaRefs/>
</ds:datastoreItem>
</file>

<file path=customXml/itemProps6.xml><?xml version="1.0" encoding="utf-8"?>
<ds:datastoreItem xmlns:ds="http://schemas.openxmlformats.org/officeDocument/2006/customXml" ds:itemID="{56B75A17-1892-4502-837E-C310BF15D576}">
  <ds:schemaRefs/>
</ds:datastoreItem>
</file>

<file path=customXml/itemProps7.xml><?xml version="1.0" encoding="utf-8"?>
<ds:datastoreItem xmlns:ds="http://schemas.openxmlformats.org/officeDocument/2006/customXml" ds:itemID="{C9713AD5-DCCE-4CE1-B69D-AB3A6CF5CAE9}">
  <ds:schemaRefs/>
</ds:datastoreItem>
</file>

<file path=customXml/itemProps8.xml><?xml version="1.0" encoding="utf-8"?>
<ds:datastoreItem xmlns:ds="http://schemas.openxmlformats.org/officeDocument/2006/customXml" ds:itemID="{44D9CF9D-F9B7-4F09-A515-6BC2CB40A636}">
  <ds:schemaRefs/>
</ds:datastoreItem>
</file>

<file path=customXml/itemProps9.xml><?xml version="1.0" encoding="utf-8"?>
<ds:datastoreItem xmlns:ds="http://schemas.openxmlformats.org/officeDocument/2006/customXml" ds:itemID="{B4EA3E80-4340-4AC4-8493-5A93D96DA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2485</Words>
  <Characters>14167</Characters>
  <Lines>118</Lines>
  <Paragraphs>33</Paragraphs>
  <TotalTime>282</TotalTime>
  <ScaleCrop>false</ScaleCrop>
  <LinksUpToDate>false</LinksUpToDate>
  <CharactersWithSpaces>16619</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2018-05-07T05:40:00Z</dcterms:created>
  <dc:creator>zhixiahui</dc:creator>
  <cp:lastModifiedBy>gfc</cp:lastModifiedBy>
  <cp:lastPrinted>2018-06-15T03:52:00Z</cp:lastPrinted>
  <dcterms:modified xsi:type="dcterms:W3CDTF">2018-07-04T05:58:25Z</dcterms:modified>
  <cp:revision>1156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